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1E044F"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5D0DAF" w:rsidP="00A91406">
            <w:pPr>
              <w:pStyle w:val="DHHSmainheading"/>
            </w:pPr>
            <w:r w:rsidRPr="005D0DAF">
              <w:lastRenderedPageBreak/>
              <w:t>The role of custodians and carers</w:t>
            </w:r>
          </w:p>
        </w:tc>
      </w:tr>
      <w:tr w:rsidR="00AD784C" w:rsidTr="00357B4E">
        <w:trPr>
          <w:trHeight w:hRule="exact" w:val="1162"/>
        </w:trPr>
        <w:tc>
          <w:tcPr>
            <w:tcW w:w="8046" w:type="dxa"/>
            <w:shd w:val="clear" w:color="auto" w:fill="auto"/>
            <w:tcMar>
              <w:top w:w="170" w:type="dxa"/>
              <w:bottom w:w="510" w:type="dxa"/>
            </w:tcMar>
          </w:tcPr>
          <w:p w:rsidR="00357B4E" w:rsidRPr="00AD784C" w:rsidRDefault="005D0DAF" w:rsidP="00357B4E">
            <w:pPr>
              <w:pStyle w:val="DHHSmainsubheading"/>
              <w:rPr>
                <w:szCs w:val="28"/>
              </w:rPr>
            </w:pPr>
            <w:r>
              <w:rPr>
                <w:szCs w:val="28"/>
              </w:rPr>
              <w:t>English</w:t>
            </w:r>
          </w:p>
        </w:tc>
      </w:tr>
    </w:tbl>
    <w:p w:rsidR="007173CA" w:rsidRDefault="007173CA" w:rsidP="007173CA">
      <w:pPr>
        <w:pStyle w:val="DHHSbody"/>
      </w:pP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1" w:name="_Toc440566508"/>
    </w:p>
    <w:p w:rsidR="005D0DAF" w:rsidRDefault="005D0DAF" w:rsidP="005D0DAF">
      <w:pPr>
        <w:pStyle w:val="DHHSbody"/>
      </w:pPr>
      <w:r>
        <w:lastRenderedPageBreak/>
        <w:t>Given that all RMP clients do not reside with parents, the role of custodians and carers is critical in ensuring the health and well-being of our client group. Custodians and carers include:</w:t>
      </w:r>
    </w:p>
    <w:p w:rsidR="005D0DAF" w:rsidRDefault="005D0DAF" w:rsidP="005D0DAF">
      <w:pPr>
        <w:pStyle w:val="DHHSbullet1"/>
      </w:pPr>
      <w:r>
        <w:rPr>
          <w:color w:val="000000"/>
        </w:rPr>
        <w:t>Kinship</w:t>
      </w:r>
      <w:r>
        <w:t xml:space="preserve"> networks, including extended family, members of the relevant cultural community, friends, others known to the child or young person</w:t>
      </w:r>
    </w:p>
    <w:p w:rsidR="005D0DAF" w:rsidRDefault="005D0DAF" w:rsidP="005D0DAF">
      <w:pPr>
        <w:pStyle w:val="DHHSbullet1lastline"/>
      </w:pPr>
      <w:r>
        <w:t>Alternative carers, including foster carers</w:t>
      </w:r>
    </w:p>
    <w:p w:rsidR="005D0DAF" w:rsidRDefault="005D0DAF" w:rsidP="005D0DAF">
      <w:pPr>
        <w:pStyle w:val="DHHSbody"/>
      </w:pPr>
      <w:r>
        <w:t>The involvement of the RMP with non-ward clients is prefaced on the principle that children of any culture are best cared for by their parents, but when this is not possible they are best cared for by close relatives of the same culture. The work of the RMP with non-wards therefore, aims at maintaining wherever possible, the child/young person in the care of their relatives. Generally, the relative will be of the same culture, speak the same language, understand the child’s and/or young person’s family history, and often has a similar refugee experience to that experienced by the child/young person.</w:t>
      </w:r>
    </w:p>
    <w:bookmarkEnd w:id="1"/>
    <w:p w:rsidR="002802E3" w:rsidRPr="005D0DAF" w:rsidRDefault="002802E3" w:rsidP="005D0DAF">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254F58" w:rsidRPr="00254F58" w:rsidRDefault="00254F58" w:rsidP="00770F37">
            <w:pPr>
              <w:pStyle w:val="DHHSaccessibilitypara"/>
            </w:pPr>
            <w:r w:rsidRPr="00254F58">
              <w:t xml:space="preserve">To receive this publication in </w:t>
            </w:r>
            <w:r w:rsidRPr="00770F37">
              <w:t>an</w:t>
            </w:r>
            <w:r w:rsidRPr="00254F58">
              <w:t xml:space="preserve"> accessible format phone</w:t>
            </w:r>
            <w:r w:rsidR="005D0DAF">
              <w:t xml:space="preserve"> </w:t>
            </w:r>
            <w:r w:rsidR="005D0DAF" w:rsidRPr="00B0461A">
              <w:t>9096 0000</w:t>
            </w:r>
            <w:r w:rsidRPr="00254F58">
              <w:t>, using the National Relay Service 13 36 77 if required</w:t>
            </w:r>
            <w:r w:rsidR="005D0DAF">
              <w:t xml:space="preserve">. </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0C3B07">
              <w:t xml:space="preserve"> May, 2017</w:t>
            </w:r>
            <w:r w:rsidR="00F61A9F">
              <w:t>.</w:t>
            </w:r>
          </w:p>
          <w:p w:rsidR="002802E3" w:rsidRPr="005D0DAF" w:rsidRDefault="00254F58" w:rsidP="005D0DAF">
            <w:pPr>
              <w:pStyle w:val="DHHSbody"/>
              <w:rPr>
                <w:szCs w:val="19"/>
              </w:rPr>
            </w:pPr>
            <w:r w:rsidRPr="00254F58">
              <w:rPr>
                <w:szCs w:val="19"/>
              </w:rPr>
              <w:t>Available at</w:t>
            </w:r>
            <w:r w:rsidR="005D0DAF">
              <w:rPr>
                <w:szCs w:val="19"/>
              </w:rPr>
              <w:t xml:space="preserve"> www.dhhs.vic.gov.au</w:t>
            </w:r>
          </w:p>
        </w:tc>
      </w:tr>
    </w:tbl>
    <w:p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D8" w:rsidRDefault="00DD3CD8">
      <w:r>
        <w:separator/>
      </w:r>
    </w:p>
  </w:endnote>
  <w:endnote w:type="continuationSeparator" w:id="0">
    <w:p w:rsidR="00DD3CD8" w:rsidRDefault="00DD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1E044F"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9D70A4"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5D0DAF">
      <w:rPr>
        <w:noProof/>
      </w:rPr>
      <w:t>5</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D8" w:rsidRDefault="00DD3CD8" w:rsidP="002862F1">
      <w:pPr>
        <w:spacing w:before="120"/>
      </w:pPr>
      <w:r>
        <w:separator/>
      </w:r>
    </w:p>
  </w:footnote>
  <w:footnote w:type="continuationSeparator" w:id="0">
    <w:p w:rsidR="00DD3CD8" w:rsidRDefault="00DD3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5606792D"/>
    <w:multiLevelType w:val="hybridMultilevel"/>
    <w:tmpl w:val="8E6405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4F"/>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030B"/>
    <w:rsid w:val="000B543D"/>
    <w:rsid w:val="000B5BF7"/>
    <w:rsid w:val="000B6BC8"/>
    <w:rsid w:val="000C3B07"/>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044F"/>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77E8A"/>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2081"/>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0DAF"/>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97972"/>
    <w:rsid w:val="00DA2619"/>
    <w:rsid w:val="00DA4239"/>
    <w:rsid w:val="00DB0B61"/>
    <w:rsid w:val="00DB3B30"/>
    <w:rsid w:val="00DC090B"/>
    <w:rsid w:val="00DC1679"/>
    <w:rsid w:val="00DC2CF1"/>
    <w:rsid w:val="00DC4FCF"/>
    <w:rsid w:val="00DC50E0"/>
    <w:rsid w:val="00DC6386"/>
    <w:rsid w:val="00DD1130"/>
    <w:rsid w:val="00DD1951"/>
    <w:rsid w:val="00DD3CD8"/>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SHeadingA">
    <w:name w:val="DHS Heading A"/>
    <w:rsid w:val="005D0DAF"/>
    <w:pPr>
      <w:spacing w:after="560" w:line="520" w:lineRule="exact"/>
    </w:pPr>
    <w:rPr>
      <w:rFonts w:ascii="Tahoma" w:hAnsi="Tahoma"/>
      <w:bCs/>
      <w:color w:val="A70240"/>
      <w:sz w:val="44"/>
      <w:szCs w:val="24"/>
      <w:lang w:eastAsia="en-US"/>
    </w:rPr>
  </w:style>
  <w:style w:type="paragraph" w:customStyle="1" w:styleId="DHSbody">
    <w:name w:val="DHS body"/>
    <w:rsid w:val="005D0DAF"/>
    <w:pPr>
      <w:spacing w:after="120" w:line="270" w:lineRule="exact"/>
    </w:pPr>
    <w:rPr>
      <w:rFonts w:ascii="Arial" w:hAnsi="Arial"/>
      <w:lang w:eastAsia="en-US"/>
    </w:rPr>
  </w:style>
  <w:style w:type="paragraph" w:customStyle="1" w:styleId="DHSbullet">
    <w:name w:val="DHS bullet"/>
    <w:basedOn w:val="DHSbody"/>
    <w:rsid w:val="005D0DAF"/>
    <w:pPr>
      <w:numPr>
        <w:numId w:val="3"/>
      </w:numPr>
      <w:tabs>
        <w:tab w:val="num" w:pos="287"/>
      </w:tabs>
      <w:ind w:left="289" w:hanging="28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SHeadingA">
    <w:name w:val="DHS Heading A"/>
    <w:rsid w:val="005D0DAF"/>
    <w:pPr>
      <w:spacing w:after="560" w:line="520" w:lineRule="exact"/>
    </w:pPr>
    <w:rPr>
      <w:rFonts w:ascii="Tahoma" w:hAnsi="Tahoma"/>
      <w:bCs/>
      <w:color w:val="A70240"/>
      <w:sz w:val="44"/>
      <w:szCs w:val="24"/>
      <w:lang w:eastAsia="en-US"/>
    </w:rPr>
  </w:style>
  <w:style w:type="paragraph" w:customStyle="1" w:styleId="DHSbody">
    <w:name w:val="DHS body"/>
    <w:rsid w:val="005D0DAF"/>
    <w:pPr>
      <w:spacing w:after="120" w:line="270" w:lineRule="exact"/>
    </w:pPr>
    <w:rPr>
      <w:rFonts w:ascii="Arial" w:hAnsi="Arial"/>
      <w:lang w:eastAsia="en-US"/>
    </w:rPr>
  </w:style>
  <w:style w:type="paragraph" w:customStyle="1" w:styleId="DHSbullet">
    <w:name w:val="DHS bullet"/>
    <w:basedOn w:val="DHSbody"/>
    <w:rsid w:val="005D0DAF"/>
    <w:pPr>
      <w:numPr>
        <w:numId w:val="3"/>
      </w:numPr>
      <w:tabs>
        <w:tab w:val="num" w:pos="287"/>
      </w:tabs>
      <w:ind w:left="289" w:hanging="28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The role of custodians and carers - English</vt:lpstr>
    </vt:vector>
  </TitlesOfParts>
  <Company>Department of Health and Human Services</Company>
  <LinksUpToDate>false</LinksUpToDate>
  <CharactersWithSpaces>1345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custodians and carers - English</dc:title>
  <dc:subject>The role of custodians and carers - English</dc:subject>
  <dc:creator>Department of Health and Human Services</dc:creator>
  <cp:keywords>kinship, foster carers, refugees</cp:keywords>
  <cp:lastModifiedBy>Julianne Van Veenendaal</cp:lastModifiedBy>
  <cp:revision>2</cp:revision>
  <cp:lastPrinted>2015-08-21T03:17:00Z</cp:lastPrinted>
  <dcterms:created xsi:type="dcterms:W3CDTF">2017-05-26T01:22:00Z</dcterms:created>
  <dcterms:modified xsi:type="dcterms:W3CDTF">2017-05-26T01:22:00Z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