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6FEFA05C" w:rsidR="0074696E" w:rsidRPr="004C6EEE" w:rsidRDefault="0054146B" w:rsidP="00AD784C">
      <w:pPr>
        <w:pStyle w:val="Spacerparatopoffirstpage"/>
      </w:pPr>
      <w:r>
        <w:drawing>
          <wp:anchor distT="0" distB="0" distL="114300" distR="114300" simplePos="0" relativeHeight="251659264" behindDoc="1" locked="1" layoutInCell="1" allowOverlap="1" wp14:anchorId="13148F76" wp14:editId="69EA0F62">
            <wp:simplePos x="0" y="0"/>
            <wp:positionH relativeFrom="page">
              <wp:posOffset>1905</wp:posOffset>
            </wp:positionH>
            <wp:positionV relativeFrom="page">
              <wp:posOffset>0</wp:posOffset>
            </wp:positionV>
            <wp:extent cx="7555230" cy="20802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230" cy="20802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1749F4">
          <w:headerReference w:type="default" r:id="rId12"/>
          <w:footerReference w:type="default" r:id="rId13"/>
          <w:footerReference w:type="first" r:id="rId14"/>
          <w:pgSz w:w="11906" w:h="16838" w:code="9"/>
          <w:pgMar w:top="454" w:right="851" w:bottom="1985" w:left="851" w:header="340" w:footer="851" w:gutter="0"/>
          <w:cols w:space="708"/>
          <w:titlePg/>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49286A">
        <w:trPr>
          <w:trHeight w:val="1418"/>
        </w:trPr>
        <w:tc>
          <w:tcPr>
            <w:tcW w:w="7655" w:type="dxa"/>
            <w:vAlign w:val="bottom"/>
          </w:tcPr>
          <w:p w14:paraId="1B06FE4C" w14:textId="05381244" w:rsidR="00AD784C" w:rsidRPr="00161AA0" w:rsidRDefault="00604D17" w:rsidP="00EC20FF">
            <w:pPr>
              <w:pStyle w:val="Documenttitle"/>
            </w:pPr>
            <w:r>
              <w:t>EFTPOS</w:t>
            </w:r>
            <w:r w:rsidR="00746873">
              <w:t xml:space="preserve"> </w:t>
            </w:r>
            <w:r>
              <w:t>E</w:t>
            </w:r>
            <w:r w:rsidR="00746873">
              <w:t xml:space="preserve">mergency </w:t>
            </w:r>
            <w:r>
              <w:t>R</w:t>
            </w:r>
            <w:r w:rsidR="00746873">
              <w:t>elie</w:t>
            </w:r>
            <w:r w:rsidR="007C0FA5">
              <w:t>f</w:t>
            </w:r>
            <w:r w:rsidR="00746873">
              <w:t xml:space="preserve"> Prepaid Card</w:t>
            </w:r>
            <w:r w:rsidR="00B953E0" w:rsidRPr="00B953E0">
              <w:t xml:space="preserve"> </w:t>
            </w:r>
          </w:p>
        </w:tc>
      </w:tr>
      <w:tr w:rsidR="000B2117" w14:paraId="5DF317EC" w14:textId="77777777" w:rsidTr="0049286A">
        <w:trPr>
          <w:trHeight w:val="1247"/>
        </w:trPr>
        <w:tc>
          <w:tcPr>
            <w:tcW w:w="7655" w:type="dxa"/>
          </w:tcPr>
          <w:p w14:paraId="69C24C39" w14:textId="3658B257" w:rsidR="000B2117" w:rsidRPr="00A1389F" w:rsidRDefault="00604D17" w:rsidP="00CF4148">
            <w:pPr>
              <w:pStyle w:val="Documentsubtitle"/>
            </w:pPr>
            <w:r>
              <w:t>Target Market Determination</w:t>
            </w:r>
          </w:p>
        </w:tc>
      </w:tr>
    </w:tbl>
    <w:p w14:paraId="61118CAF" w14:textId="3C044A78" w:rsidR="001749F4" w:rsidRDefault="001749F4" w:rsidP="001749F4">
      <w:pPr>
        <w:pStyle w:val="Heading1"/>
      </w:pPr>
      <w:bookmarkStart w:id="0" w:name="_Toc93502712"/>
      <w:bookmarkStart w:id="1" w:name="_Toc93931956"/>
      <w:r>
        <w:t>1.</w:t>
      </w:r>
      <w:r>
        <w:tab/>
        <w:t>Introduction</w:t>
      </w:r>
      <w:bookmarkEnd w:id="0"/>
      <w:bookmarkEnd w:id="1"/>
    </w:p>
    <w:p w14:paraId="70DB1B58" w14:textId="42E653D0" w:rsidR="00604D17" w:rsidRPr="00604D17" w:rsidRDefault="00604D17" w:rsidP="00604D17">
      <w:pPr>
        <w:pStyle w:val="Body"/>
      </w:pPr>
      <w:bookmarkStart w:id="2" w:name="_Toc93502713"/>
      <w:bookmarkStart w:id="3" w:name="_Toc93931957"/>
      <w:r w:rsidRPr="00604D17">
        <w:t>The EFTPOS Emergency Relief Prepaid Card (Prepaid Card) is a financial product for the purposes of the design and distribution obligations set out in Part 7.8A of the Corporations Act 2001 Cth).</w:t>
      </w:r>
    </w:p>
    <w:p w14:paraId="01E21E00" w14:textId="77777777" w:rsidR="00604D17" w:rsidRPr="00604D17" w:rsidRDefault="00604D17" w:rsidP="00604D17">
      <w:pPr>
        <w:pStyle w:val="Body"/>
      </w:pPr>
      <w:r w:rsidRPr="00604D17">
        <w:t>The purpose of this Target Market Determination is to provide consumers with information about the Prepaid Cards’ key attributes, the target market for the Prepaid Card, and the distribution and monitoring arrangements between the issuer, Indue Ltd and the distributor, the Department of Families, Fairness and Housing (DFFH).</w:t>
      </w:r>
    </w:p>
    <w:p w14:paraId="5AA58F82" w14:textId="77777777" w:rsidR="00604D17" w:rsidRPr="00604D17" w:rsidRDefault="00604D17" w:rsidP="00604D17">
      <w:pPr>
        <w:pStyle w:val="Body"/>
      </w:pPr>
      <w:r w:rsidRPr="00604D17">
        <w:t>This document is not to be treated as a full summary of the product’s terms and conditions and is not intended to provide financial advice. You should refer to the Product Disclosure Statement for the Prepaid Card available from DFFH when making a decision about this product.</w:t>
      </w:r>
    </w:p>
    <w:p w14:paraId="1C7F6033" w14:textId="77777777" w:rsidR="00604D17" w:rsidRPr="00604D17" w:rsidRDefault="00604D17" w:rsidP="00604D17">
      <w:pPr>
        <w:pStyle w:val="Body"/>
      </w:pPr>
      <w:r w:rsidRPr="00604D17">
        <w:t>Date from which this Target Market Determination is effective</w:t>
      </w:r>
    </w:p>
    <w:p w14:paraId="192A2BE1" w14:textId="5E10237A" w:rsidR="00604D17" w:rsidRDefault="00604D17" w:rsidP="00604D17">
      <w:pPr>
        <w:pStyle w:val="Body"/>
        <w:rPr>
          <w:rFonts w:asciiTheme="minorHAnsi" w:hAnsiTheme="minorHAnsi"/>
          <w:sz w:val="22"/>
          <w:lang w:val="en-US"/>
        </w:rPr>
      </w:pPr>
      <w:r w:rsidRPr="00604D17">
        <w:t>5 October 2021</w:t>
      </w:r>
    </w:p>
    <w:p w14:paraId="7CFB90C8" w14:textId="50F9A627" w:rsidR="001749F4" w:rsidRDefault="001749F4" w:rsidP="001749F4">
      <w:pPr>
        <w:pStyle w:val="Heading1"/>
      </w:pPr>
      <w:r>
        <w:t>2.</w:t>
      </w:r>
      <w:r>
        <w:tab/>
      </w:r>
      <w:bookmarkEnd w:id="2"/>
      <w:bookmarkEnd w:id="3"/>
      <w:r w:rsidR="00604D17">
        <w:t>Target Market</w:t>
      </w:r>
    </w:p>
    <w:p w14:paraId="5F58A09F" w14:textId="77777777" w:rsidR="00604D17" w:rsidRDefault="00604D17" w:rsidP="00604D17">
      <w:pPr>
        <w:pStyle w:val="Body"/>
        <w:rPr>
          <w:rFonts w:asciiTheme="minorHAnsi" w:hAnsiTheme="minorHAnsi"/>
          <w:sz w:val="22"/>
          <w:lang w:val="en-US"/>
        </w:rPr>
      </w:pPr>
      <w:bookmarkStart w:id="4" w:name="_Toc93502714"/>
      <w:bookmarkStart w:id="5" w:name="_Toc93931958"/>
      <w:r>
        <w:rPr>
          <w:lang w:val="en-US"/>
        </w:rPr>
        <w:t xml:space="preserve">The information below summarises the overall class of consumers that fall within the target market for the Prepaid Card, based on the product key attributes and the objectives, financial situation and needs that it has been designed to meet.  </w:t>
      </w:r>
    </w:p>
    <w:p w14:paraId="6616D64A" w14:textId="77777777" w:rsidR="00604D17" w:rsidRPr="001C191C" w:rsidRDefault="00604D17" w:rsidP="00604D17">
      <w:pPr>
        <w:pStyle w:val="Body"/>
        <w:numPr>
          <w:ilvl w:val="0"/>
          <w:numId w:val="7"/>
        </w:numPr>
        <w:rPr>
          <w:b/>
        </w:rPr>
      </w:pPr>
      <w:r w:rsidRPr="001C191C">
        <w:rPr>
          <w:b/>
        </w:rPr>
        <w:t>Class of consumers that fall within the target market</w:t>
      </w:r>
    </w:p>
    <w:p w14:paraId="1527CF9E" w14:textId="77777777" w:rsidR="00604D17" w:rsidRPr="00B61C82" w:rsidRDefault="00604D17" w:rsidP="00604D17">
      <w:pPr>
        <w:pStyle w:val="Body"/>
        <w:ind w:left="720"/>
        <w:rPr>
          <w:bCs/>
          <w:lang w:val="en-US"/>
        </w:rPr>
      </w:pPr>
      <w:r w:rsidRPr="00B61C82">
        <w:rPr>
          <w:bCs/>
          <w:lang w:val="en-US"/>
        </w:rPr>
        <w:t xml:space="preserve">The Prepaid Card is for those who are assessed to be eligible for financial assistance from the Victorian Government through </w:t>
      </w:r>
      <w:r w:rsidRPr="00B61C82">
        <w:rPr>
          <w:bCs/>
          <w:iCs/>
        </w:rPr>
        <w:t>the Personal Hardship Assistance Program (PHAP) following an eligible emergency event.</w:t>
      </w:r>
    </w:p>
    <w:p w14:paraId="3354A81B" w14:textId="77777777" w:rsidR="00604D17" w:rsidRPr="001C191C" w:rsidRDefault="00604D17" w:rsidP="00604D17">
      <w:pPr>
        <w:pStyle w:val="Body"/>
        <w:numPr>
          <w:ilvl w:val="0"/>
          <w:numId w:val="7"/>
        </w:numPr>
        <w:rPr>
          <w:b/>
        </w:rPr>
      </w:pPr>
      <w:r w:rsidRPr="001C191C">
        <w:rPr>
          <w:b/>
        </w:rPr>
        <w:t>Description of the Prepaid Card and its key attributes</w:t>
      </w:r>
    </w:p>
    <w:p w14:paraId="51C1E721" w14:textId="77777777" w:rsidR="00604D17" w:rsidRPr="00B61C82" w:rsidRDefault="00604D17" w:rsidP="00604D17">
      <w:pPr>
        <w:pStyle w:val="Body"/>
        <w:ind w:left="720"/>
        <w:rPr>
          <w:bCs/>
        </w:rPr>
      </w:pPr>
      <w:r w:rsidRPr="00B61C82">
        <w:rPr>
          <w:bCs/>
        </w:rPr>
        <w:t xml:space="preserve">The Prepaid Card is a single load EFTPOS card.  </w:t>
      </w:r>
    </w:p>
    <w:p w14:paraId="16CCB63B" w14:textId="77777777" w:rsidR="00604D17" w:rsidRPr="00B61C82" w:rsidRDefault="00604D17" w:rsidP="00604D17">
      <w:pPr>
        <w:pStyle w:val="Body"/>
        <w:ind w:left="1440"/>
        <w:rPr>
          <w:bCs/>
        </w:rPr>
      </w:pPr>
      <w:r w:rsidRPr="00B61C82">
        <w:rPr>
          <w:bCs/>
        </w:rPr>
        <w:t>The key attributes of the Prepaid Card are that:</w:t>
      </w:r>
    </w:p>
    <w:p w14:paraId="4677B5B9" w14:textId="77777777" w:rsidR="00604D17" w:rsidRPr="00B61C82" w:rsidRDefault="00604D17" w:rsidP="00604D17">
      <w:pPr>
        <w:pStyle w:val="Body"/>
        <w:numPr>
          <w:ilvl w:val="0"/>
          <w:numId w:val="8"/>
        </w:numPr>
        <w:rPr>
          <w:bCs/>
        </w:rPr>
      </w:pPr>
      <w:r w:rsidRPr="00B61C82">
        <w:rPr>
          <w:bCs/>
        </w:rPr>
        <w:t>emergency relief or re-establishment assistance payments can be loaded onto the card by DFFH;</w:t>
      </w:r>
    </w:p>
    <w:p w14:paraId="79834E33" w14:textId="77777777" w:rsidR="00604D17" w:rsidRPr="00B61C82" w:rsidRDefault="00604D17" w:rsidP="00604D17">
      <w:pPr>
        <w:pStyle w:val="Body"/>
        <w:numPr>
          <w:ilvl w:val="0"/>
          <w:numId w:val="8"/>
        </w:numPr>
        <w:rPr>
          <w:bCs/>
        </w:rPr>
      </w:pPr>
      <w:r w:rsidRPr="00B61C82">
        <w:rPr>
          <w:bCs/>
        </w:rPr>
        <w:t>it can be reloaded;</w:t>
      </w:r>
    </w:p>
    <w:p w14:paraId="3D5BEC1E" w14:textId="77777777" w:rsidR="00604D17" w:rsidRPr="00B61C82" w:rsidRDefault="00604D17" w:rsidP="00604D17">
      <w:pPr>
        <w:pStyle w:val="Body"/>
        <w:numPr>
          <w:ilvl w:val="0"/>
          <w:numId w:val="8"/>
        </w:numPr>
        <w:rPr>
          <w:bCs/>
        </w:rPr>
      </w:pPr>
      <w:r w:rsidRPr="00B61C82">
        <w:rPr>
          <w:bCs/>
        </w:rPr>
        <w:t xml:space="preserve">can be used at any merchant that accepts EFTPOS; </w:t>
      </w:r>
    </w:p>
    <w:p w14:paraId="0A7E22D4" w14:textId="77777777" w:rsidR="00604D17" w:rsidRPr="00B61C82" w:rsidRDefault="00604D17" w:rsidP="00604D17">
      <w:pPr>
        <w:pStyle w:val="Body"/>
        <w:numPr>
          <w:ilvl w:val="0"/>
          <w:numId w:val="8"/>
        </w:numPr>
        <w:rPr>
          <w:bCs/>
        </w:rPr>
      </w:pPr>
      <w:r w:rsidRPr="00B61C82">
        <w:rPr>
          <w:bCs/>
          <w:lang w:val="en-US"/>
        </w:rPr>
        <w:t>has no ongoing or post-supply fees; and</w:t>
      </w:r>
    </w:p>
    <w:p w14:paraId="4DDB21B6" w14:textId="2D1B9424" w:rsidR="00604D17" w:rsidRPr="00B61C82" w:rsidRDefault="00604D17" w:rsidP="00604D17">
      <w:pPr>
        <w:pStyle w:val="Body"/>
        <w:numPr>
          <w:ilvl w:val="0"/>
          <w:numId w:val="8"/>
        </w:numPr>
        <w:rPr>
          <w:bCs/>
        </w:rPr>
      </w:pPr>
      <w:r w:rsidRPr="00B61C82">
        <w:rPr>
          <w:bCs/>
        </w:rPr>
        <w:t>can be used to purchase any item(s) up to the value loaded onto the card.</w:t>
      </w:r>
    </w:p>
    <w:p w14:paraId="6AA93169" w14:textId="77777777" w:rsidR="00604D17" w:rsidRPr="001C191C" w:rsidRDefault="00604D17" w:rsidP="00604D17">
      <w:pPr>
        <w:pStyle w:val="Body"/>
        <w:numPr>
          <w:ilvl w:val="0"/>
          <w:numId w:val="7"/>
        </w:numPr>
        <w:rPr>
          <w:b/>
        </w:rPr>
      </w:pPr>
      <w:r w:rsidRPr="001C191C">
        <w:rPr>
          <w:b/>
        </w:rPr>
        <w:lastRenderedPageBreak/>
        <w:t>Excluded class of consumers</w:t>
      </w:r>
      <w:r w:rsidRPr="001C191C">
        <w:rPr>
          <w:rFonts w:asciiTheme="majorHAnsi" w:hAnsiTheme="majorHAnsi" w:cstheme="majorHAnsi"/>
          <w:b/>
        </w:rPr>
        <w:t xml:space="preserve"> </w:t>
      </w:r>
    </w:p>
    <w:p w14:paraId="77D9715E" w14:textId="77777777" w:rsidR="00604D17" w:rsidRPr="00B61C82" w:rsidRDefault="00604D17" w:rsidP="00604D17">
      <w:pPr>
        <w:pStyle w:val="Body"/>
        <w:ind w:left="720"/>
        <w:rPr>
          <w:bCs/>
        </w:rPr>
      </w:pPr>
      <w:r w:rsidRPr="00B61C82">
        <w:rPr>
          <w:bCs/>
        </w:rPr>
        <w:t>The Prepaid Card has not been designed for anyone other than those assessed to be eligible for emergency relief and/or re-establishment assistance payments.</w:t>
      </w:r>
    </w:p>
    <w:p w14:paraId="6BDF1663" w14:textId="77777777" w:rsidR="00604D17" w:rsidRPr="001C191C" w:rsidRDefault="00604D17" w:rsidP="00604D17">
      <w:pPr>
        <w:pStyle w:val="Body"/>
        <w:numPr>
          <w:ilvl w:val="0"/>
          <w:numId w:val="7"/>
        </w:numPr>
        <w:rPr>
          <w:b/>
        </w:rPr>
      </w:pPr>
      <w:r w:rsidRPr="001C191C">
        <w:rPr>
          <w:b/>
        </w:rPr>
        <w:t>Consistency between target market and Likely objectives, financial situation and needs</w:t>
      </w:r>
    </w:p>
    <w:p w14:paraId="5749188E" w14:textId="51059357" w:rsidR="00604D17" w:rsidRDefault="00604D17" w:rsidP="00604D17">
      <w:pPr>
        <w:pStyle w:val="Body"/>
        <w:ind w:left="720"/>
      </w:pPr>
      <w:r>
        <w:rPr>
          <w:lang w:val="en-US"/>
        </w:rPr>
        <w:t xml:space="preserve">The Prepaid Card is </w:t>
      </w:r>
      <w:r>
        <w:t xml:space="preserve">is likely to be consistent with the likely objectives, financial situation and needs of individuals in the target market as it provides a mechanism for the individual to receive emergency relief and/or re-establishment assistance payments and use the funds to purchase </w:t>
      </w:r>
      <w:r>
        <w:rPr>
          <w:iCs/>
        </w:rPr>
        <w:t>food, clothing, personal items or specific transport needs from merchants that accept EFTPOS cards.</w:t>
      </w:r>
    </w:p>
    <w:p w14:paraId="3BD0F7C9" w14:textId="30A988FB" w:rsidR="001749F4" w:rsidRDefault="001749F4" w:rsidP="00A36064">
      <w:pPr>
        <w:pStyle w:val="Heading1"/>
      </w:pPr>
      <w:r>
        <w:t>3.</w:t>
      </w:r>
      <w:r>
        <w:tab/>
      </w:r>
      <w:bookmarkEnd w:id="4"/>
      <w:bookmarkEnd w:id="5"/>
      <w:r w:rsidR="00604D17">
        <w:t>Distribution Conditions and Restrictions</w:t>
      </w:r>
    </w:p>
    <w:p w14:paraId="6956BD49" w14:textId="77777777" w:rsidR="00604D17" w:rsidRPr="001C191C" w:rsidRDefault="00604D17" w:rsidP="00604D17">
      <w:pPr>
        <w:pStyle w:val="Body"/>
        <w:numPr>
          <w:ilvl w:val="0"/>
          <w:numId w:val="9"/>
        </w:numPr>
        <w:rPr>
          <w:rFonts w:asciiTheme="minorHAnsi" w:hAnsiTheme="minorHAnsi"/>
          <w:b/>
          <w:bCs/>
          <w:sz w:val="22"/>
        </w:rPr>
      </w:pPr>
      <w:bookmarkStart w:id="6" w:name="_Toc93502715"/>
      <w:bookmarkStart w:id="7" w:name="_Toc93931959"/>
      <w:r w:rsidRPr="001C191C">
        <w:rPr>
          <w:b/>
          <w:bCs/>
        </w:rPr>
        <w:t>Distribution channels</w:t>
      </w:r>
    </w:p>
    <w:p w14:paraId="3FA89B85" w14:textId="77777777" w:rsidR="00604D17" w:rsidRDefault="00604D17" w:rsidP="00604D17">
      <w:pPr>
        <w:pStyle w:val="Body"/>
        <w:ind w:left="720"/>
        <w:rPr>
          <w:color w:val="FF0000"/>
        </w:rPr>
      </w:pPr>
      <w:r>
        <w:t>The Prepaid Card is designed to be distributed to consumers directly by DFFH.</w:t>
      </w:r>
    </w:p>
    <w:p w14:paraId="42631CC6" w14:textId="77777777" w:rsidR="00604D17" w:rsidRPr="001C191C" w:rsidRDefault="00604D17" w:rsidP="00604D17">
      <w:pPr>
        <w:pStyle w:val="Body"/>
        <w:numPr>
          <w:ilvl w:val="0"/>
          <w:numId w:val="9"/>
        </w:numPr>
        <w:rPr>
          <w:b/>
          <w:bCs/>
        </w:rPr>
      </w:pPr>
      <w:r w:rsidRPr="001C191C">
        <w:rPr>
          <w:b/>
          <w:bCs/>
        </w:rPr>
        <w:t>Distribution conditions and restrictions</w:t>
      </w:r>
    </w:p>
    <w:p w14:paraId="6F53C180" w14:textId="77777777" w:rsidR="00604D17" w:rsidRDefault="00604D17" w:rsidP="00604D17">
      <w:pPr>
        <w:pStyle w:val="Body"/>
        <w:ind w:left="720"/>
        <w:rPr>
          <w:i/>
        </w:rPr>
      </w:pPr>
      <w:r>
        <w:t xml:space="preserve">The Prepaid Card should only be distributed to individuals who qualify for </w:t>
      </w:r>
      <w:r>
        <w:rPr>
          <w:iCs/>
        </w:rPr>
        <w:t>emergency relief and/or re-establishment assistance.</w:t>
      </w:r>
    </w:p>
    <w:p w14:paraId="7B334914" w14:textId="77777777" w:rsidR="00604D17" w:rsidRPr="001C191C" w:rsidRDefault="00604D17" w:rsidP="00604D17">
      <w:pPr>
        <w:pStyle w:val="Body"/>
        <w:numPr>
          <w:ilvl w:val="0"/>
          <w:numId w:val="9"/>
        </w:numPr>
        <w:rPr>
          <w:b/>
          <w:bCs/>
        </w:rPr>
      </w:pPr>
      <w:r w:rsidRPr="001C191C">
        <w:rPr>
          <w:b/>
          <w:bCs/>
        </w:rPr>
        <w:t>Adequacy of distribution conditions and restrictions</w:t>
      </w:r>
    </w:p>
    <w:p w14:paraId="4FD8C321" w14:textId="130FD6EB" w:rsidR="00604D17" w:rsidRDefault="00604D17" w:rsidP="00604D17">
      <w:pPr>
        <w:pStyle w:val="Body"/>
        <w:ind w:left="720"/>
      </w:pPr>
      <w:r>
        <w:t xml:space="preserve">The conditions associated with qualifying for </w:t>
      </w:r>
      <w:r>
        <w:rPr>
          <w:iCs/>
        </w:rPr>
        <w:t>emergency relief and/or re-establishment assistance,</w:t>
      </w:r>
      <w:r>
        <w:t xml:space="preserve"> and the assessment and verification process put in place by DFFH, will make it likely that individuals who receive the product are in the class of consumers for which it has been designed. </w:t>
      </w:r>
    </w:p>
    <w:p w14:paraId="3F28BEB2" w14:textId="0766A186" w:rsidR="001749F4" w:rsidRDefault="001749F4" w:rsidP="001749F4">
      <w:pPr>
        <w:pStyle w:val="Heading1"/>
      </w:pPr>
      <w:r>
        <w:t>4.</w:t>
      </w:r>
      <w:r>
        <w:tab/>
      </w:r>
      <w:bookmarkEnd w:id="6"/>
      <w:bookmarkEnd w:id="7"/>
      <w:r w:rsidR="00604D17">
        <w:t>Reviewing this Target Market Determination</w:t>
      </w:r>
    </w:p>
    <w:p w14:paraId="5E3369FA" w14:textId="3C7726DA" w:rsidR="00604D17" w:rsidRDefault="00604D17" w:rsidP="00604D17">
      <w:pPr>
        <w:pStyle w:val="Body"/>
      </w:pPr>
      <w:bookmarkStart w:id="8" w:name="_Toc93502716"/>
      <w:bookmarkStart w:id="9" w:name="_Toc93931960"/>
      <w:r>
        <w:t>We will review this Target Market Determination in accordance with the below:</w:t>
      </w:r>
    </w:p>
    <w:tbl>
      <w:tblPr>
        <w:tblStyle w:val="TableGrid"/>
        <w:tblW w:w="8605"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2133"/>
        <w:gridCol w:w="6472"/>
      </w:tblGrid>
      <w:tr w:rsidR="00604D17" w:rsidRPr="00604D17" w14:paraId="2014558B" w14:textId="77777777" w:rsidTr="00604D17">
        <w:trPr>
          <w:trHeight w:val="488"/>
        </w:trPr>
        <w:tc>
          <w:tcPr>
            <w:tcW w:w="2133" w:type="dxa"/>
            <w:tcBorders>
              <w:top w:val="nil"/>
              <w:left w:val="nil"/>
              <w:bottom w:val="single" w:sz="4" w:space="0" w:color="BFBFBF" w:themeColor="background1" w:themeShade="BF"/>
              <w:right w:val="single" w:sz="4" w:space="0" w:color="BFBFBF" w:themeColor="background1" w:themeShade="BF"/>
            </w:tcBorders>
            <w:hideMark/>
          </w:tcPr>
          <w:p w14:paraId="64F3028B" w14:textId="77777777" w:rsidR="00604D17" w:rsidRPr="00604D17" w:rsidRDefault="00604D17" w:rsidP="00604D17">
            <w:pPr>
              <w:pStyle w:val="Tablecolhead"/>
              <w:rPr>
                <w:rFonts w:eastAsia="Times"/>
              </w:rPr>
            </w:pPr>
            <w:r w:rsidRPr="00604D17">
              <w:rPr>
                <w:rFonts w:eastAsia="Times"/>
              </w:rPr>
              <w:t>Initial review</w:t>
            </w:r>
          </w:p>
        </w:tc>
        <w:tc>
          <w:tcPr>
            <w:tcW w:w="6472" w:type="dxa"/>
            <w:tcBorders>
              <w:top w:val="nil"/>
              <w:left w:val="single" w:sz="4" w:space="0" w:color="BFBFBF" w:themeColor="background1" w:themeShade="BF"/>
              <w:bottom w:val="single" w:sz="4" w:space="0" w:color="BFBFBF" w:themeColor="background1" w:themeShade="BF"/>
              <w:right w:val="nil"/>
            </w:tcBorders>
            <w:hideMark/>
          </w:tcPr>
          <w:p w14:paraId="59B56C9B" w14:textId="77777777" w:rsidR="00604D17" w:rsidRPr="00604D17" w:rsidRDefault="00604D17" w:rsidP="00604D17">
            <w:pPr>
              <w:pStyle w:val="Tabletext"/>
              <w:rPr>
                <w:rFonts w:eastAsia="Times"/>
              </w:rPr>
            </w:pPr>
            <w:r w:rsidRPr="00604D17">
              <w:rPr>
                <w:rFonts w:eastAsia="Times"/>
              </w:rPr>
              <w:t>Within the 6 months of the effective date. </w:t>
            </w:r>
          </w:p>
        </w:tc>
      </w:tr>
      <w:tr w:rsidR="00604D17" w:rsidRPr="00604D17" w14:paraId="19F90AF2" w14:textId="77777777" w:rsidTr="00604D17">
        <w:trPr>
          <w:trHeight w:val="488"/>
        </w:trPr>
        <w:tc>
          <w:tcPr>
            <w:tcW w:w="213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228A2A" w14:textId="77777777" w:rsidR="00604D17" w:rsidRPr="00604D17" w:rsidRDefault="00604D17" w:rsidP="00604D17">
            <w:pPr>
              <w:pStyle w:val="Tablecolhead"/>
              <w:rPr>
                <w:rFonts w:eastAsia="Times"/>
              </w:rPr>
            </w:pPr>
            <w:r w:rsidRPr="00604D17">
              <w:rPr>
                <w:rFonts w:eastAsia="Times"/>
              </w:rPr>
              <w:t>Periodic reviews</w:t>
            </w:r>
          </w:p>
        </w:tc>
        <w:tc>
          <w:tcPr>
            <w:tcW w:w="647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1B50D7" w14:textId="77777777" w:rsidR="00604D17" w:rsidRPr="00604D17" w:rsidRDefault="00604D17" w:rsidP="00604D17">
            <w:pPr>
              <w:pStyle w:val="Tabletext"/>
              <w:rPr>
                <w:rFonts w:eastAsia="Times"/>
              </w:rPr>
            </w:pPr>
            <w:r w:rsidRPr="00604D17">
              <w:rPr>
                <w:rFonts w:eastAsia="Times"/>
              </w:rPr>
              <w:t>At least every 1 year from the initial review.</w:t>
            </w:r>
          </w:p>
        </w:tc>
      </w:tr>
      <w:tr w:rsidR="00604D17" w:rsidRPr="00604D17" w14:paraId="67DD9E2A" w14:textId="77777777" w:rsidTr="00604D17">
        <w:tc>
          <w:tcPr>
            <w:tcW w:w="2133" w:type="dxa"/>
            <w:tcBorders>
              <w:top w:val="single" w:sz="4" w:space="0" w:color="BFBFBF" w:themeColor="background1" w:themeShade="BF"/>
              <w:left w:val="nil"/>
              <w:bottom w:val="nil"/>
              <w:right w:val="single" w:sz="4" w:space="0" w:color="BFBFBF" w:themeColor="background1" w:themeShade="BF"/>
            </w:tcBorders>
            <w:hideMark/>
          </w:tcPr>
          <w:p w14:paraId="02259A4B" w14:textId="77777777" w:rsidR="00604D17" w:rsidRPr="00604D17" w:rsidRDefault="00604D17" w:rsidP="00604D17">
            <w:pPr>
              <w:pStyle w:val="Tablecolhead"/>
              <w:rPr>
                <w:rFonts w:eastAsia="Times"/>
              </w:rPr>
            </w:pPr>
            <w:r w:rsidRPr="00604D17">
              <w:rPr>
                <w:rFonts w:eastAsia="Times"/>
              </w:rPr>
              <w:t>Review triggers or events</w:t>
            </w:r>
          </w:p>
        </w:tc>
        <w:tc>
          <w:tcPr>
            <w:tcW w:w="6472" w:type="dxa"/>
            <w:tcBorders>
              <w:top w:val="single" w:sz="4" w:space="0" w:color="BFBFBF" w:themeColor="background1" w:themeShade="BF"/>
              <w:left w:val="single" w:sz="4" w:space="0" w:color="BFBFBF" w:themeColor="background1" w:themeShade="BF"/>
              <w:bottom w:val="nil"/>
              <w:right w:val="nil"/>
            </w:tcBorders>
            <w:hideMark/>
          </w:tcPr>
          <w:p w14:paraId="779CE172" w14:textId="77777777" w:rsidR="00604D17" w:rsidRPr="00604D17" w:rsidRDefault="00604D17" w:rsidP="00604D17">
            <w:pPr>
              <w:pStyle w:val="Tabletext"/>
              <w:rPr>
                <w:rFonts w:eastAsia="Times"/>
              </w:rPr>
            </w:pPr>
            <w:r w:rsidRPr="00604D17">
              <w:rPr>
                <w:rFonts w:eastAsia="Times"/>
              </w:rPr>
              <w:t xml:space="preserve">Any event or circumstances arise that would suggest the Target Market Determination is no longer appropriate. This may include (but not limited):   </w:t>
            </w:r>
          </w:p>
          <w:p w14:paraId="5881C714" w14:textId="77777777" w:rsidR="00604D17" w:rsidRPr="00604D17" w:rsidRDefault="00604D17" w:rsidP="00604D17">
            <w:pPr>
              <w:pStyle w:val="Tabletext"/>
              <w:rPr>
                <w:rFonts w:eastAsia="Times"/>
              </w:rPr>
            </w:pPr>
            <w:r w:rsidRPr="00604D17">
              <w:rPr>
                <w:rFonts w:eastAsia="Times"/>
              </w:rPr>
              <w:t xml:space="preserve">a material change to the design or distribution of the Prepaid Cards, including related documentation;  </w:t>
            </w:r>
          </w:p>
          <w:p w14:paraId="05BF33FE" w14:textId="77777777" w:rsidR="00604D17" w:rsidRPr="00604D17" w:rsidRDefault="00604D17" w:rsidP="00604D17">
            <w:pPr>
              <w:pStyle w:val="Tabletext"/>
              <w:rPr>
                <w:rFonts w:eastAsia="Times"/>
              </w:rPr>
            </w:pPr>
            <w:r w:rsidRPr="00604D17">
              <w:rPr>
                <w:rFonts w:eastAsia="Times"/>
              </w:rPr>
              <w:t xml:space="preserve">occurrence of a significant dealing;  </w:t>
            </w:r>
          </w:p>
          <w:p w14:paraId="133A5611" w14:textId="77777777" w:rsidR="00604D17" w:rsidRPr="00604D17" w:rsidRDefault="00604D17" w:rsidP="00604D17">
            <w:pPr>
              <w:pStyle w:val="Tabletext"/>
              <w:rPr>
                <w:rFonts w:eastAsia="Times"/>
              </w:rPr>
            </w:pPr>
            <w:r w:rsidRPr="00604D17">
              <w:rPr>
                <w:rFonts w:eastAsia="Times"/>
              </w:rPr>
              <w:t xml:space="preserve">distribution conditions found to be inadequate;  </w:t>
            </w:r>
          </w:p>
          <w:p w14:paraId="400485E5" w14:textId="77777777" w:rsidR="00604D17" w:rsidRPr="00604D17" w:rsidRDefault="00604D17" w:rsidP="00604D17">
            <w:pPr>
              <w:pStyle w:val="Tabletext"/>
              <w:rPr>
                <w:rFonts w:eastAsia="Times"/>
              </w:rPr>
            </w:pPr>
            <w:r w:rsidRPr="00604D17">
              <w:rPr>
                <w:rFonts w:eastAsia="Times"/>
              </w:rPr>
              <w:t>change in legal or regulatory requirements;</w:t>
            </w:r>
          </w:p>
          <w:p w14:paraId="0891731E" w14:textId="77777777" w:rsidR="00604D17" w:rsidRPr="00604D17" w:rsidRDefault="00604D17" w:rsidP="00604D17">
            <w:pPr>
              <w:pStyle w:val="Tabletext"/>
              <w:rPr>
                <w:rFonts w:eastAsia="Times"/>
              </w:rPr>
            </w:pPr>
            <w:r w:rsidRPr="00604D17">
              <w:rPr>
                <w:rFonts w:eastAsia="Times"/>
              </w:rPr>
              <w:t xml:space="preserve">external events such as adverse media coverage or regulatory attention; and   </w:t>
            </w:r>
          </w:p>
          <w:p w14:paraId="4EF9FFF8" w14:textId="77777777" w:rsidR="00604D17" w:rsidRPr="00604D17" w:rsidRDefault="00604D17" w:rsidP="00604D17">
            <w:pPr>
              <w:pStyle w:val="Tabletext"/>
              <w:rPr>
                <w:rFonts w:eastAsia="Times"/>
              </w:rPr>
            </w:pPr>
            <w:r w:rsidRPr="00604D17">
              <w:rPr>
                <w:rFonts w:eastAsia="Times"/>
              </w:rPr>
              <w:t xml:space="preserve">significant changes in metrics, including, but not limited to, 10 complaints in any 6 month period. </w:t>
            </w:r>
          </w:p>
        </w:tc>
      </w:tr>
    </w:tbl>
    <w:p w14:paraId="421A5D4D" w14:textId="52EB4331" w:rsidR="00604D17" w:rsidRDefault="00604D17" w:rsidP="00604D17">
      <w:pPr>
        <w:pStyle w:val="Body"/>
        <w:rPr>
          <w:sz w:val="22"/>
        </w:rPr>
      </w:pPr>
      <w:r>
        <w:t>Where a review trigger has occurred, this target market determination will be reviewed within 10 business days.</w:t>
      </w:r>
    </w:p>
    <w:p w14:paraId="6ED1CA1D" w14:textId="529AE059" w:rsidR="001749F4" w:rsidRDefault="001749F4" w:rsidP="001749F4">
      <w:pPr>
        <w:pStyle w:val="Heading1"/>
      </w:pPr>
      <w:r>
        <w:lastRenderedPageBreak/>
        <w:t>5.</w:t>
      </w:r>
      <w:r>
        <w:tab/>
      </w:r>
      <w:bookmarkEnd w:id="8"/>
      <w:bookmarkEnd w:id="9"/>
      <w:r w:rsidR="00604D17">
        <w:t>Reporting and monitoring this Target Market Determination</w:t>
      </w:r>
    </w:p>
    <w:p w14:paraId="4B5DF71E" w14:textId="77777777" w:rsidR="00604D17" w:rsidRDefault="00604D17" w:rsidP="00604D17">
      <w:pPr>
        <w:pStyle w:val="Body"/>
        <w:rPr>
          <w:sz w:val="22"/>
          <w:szCs w:val="22"/>
        </w:rPr>
      </w:pPr>
      <w:r>
        <w:t>We will collect the following information from our distributors in relation to this Target Market Determination:</w:t>
      </w:r>
    </w:p>
    <w:tbl>
      <w:tblPr>
        <w:tblStyle w:val="TableGrid"/>
        <w:tblW w:w="9072"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2176"/>
        <w:gridCol w:w="6896"/>
      </w:tblGrid>
      <w:tr w:rsidR="00604D17" w14:paraId="48BA51D1" w14:textId="77777777" w:rsidTr="00604D17">
        <w:trPr>
          <w:trHeight w:val="680"/>
        </w:trPr>
        <w:tc>
          <w:tcPr>
            <w:tcW w:w="2176" w:type="dxa"/>
            <w:tcBorders>
              <w:top w:val="nil"/>
              <w:left w:val="nil"/>
              <w:bottom w:val="single" w:sz="4" w:space="0" w:color="BFBFBF" w:themeColor="background1" w:themeShade="BF"/>
              <w:right w:val="single" w:sz="4" w:space="0" w:color="BFBFBF" w:themeColor="background1" w:themeShade="BF"/>
            </w:tcBorders>
            <w:hideMark/>
          </w:tcPr>
          <w:p w14:paraId="61135A23" w14:textId="77777777" w:rsidR="00604D17" w:rsidRDefault="00604D17" w:rsidP="00604D17">
            <w:pPr>
              <w:pStyle w:val="Tablecolhead"/>
              <w:rPr>
                <w:sz w:val="22"/>
              </w:rPr>
            </w:pPr>
            <w:r>
              <w:t>Complaints</w:t>
            </w:r>
          </w:p>
        </w:tc>
        <w:tc>
          <w:tcPr>
            <w:tcW w:w="6896" w:type="dxa"/>
            <w:tcBorders>
              <w:top w:val="nil"/>
              <w:left w:val="single" w:sz="4" w:space="0" w:color="BFBFBF" w:themeColor="background1" w:themeShade="BF"/>
              <w:bottom w:val="single" w:sz="4" w:space="0" w:color="BFBFBF" w:themeColor="background1" w:themeShade="BF"/>
              <w:right w:val="nil"/>
            </w:tcBorders>
            <w:hideMark/>
          </w:tcPr>
          <w:p w14:paraId="3E75D006" w14:textId="77777777" w:rsidR="00604D17" w:rsidRDefault="00604D17" w:rsidP="00604D17">
            <w:pPr>
              <w:pStyle w:val="Tabletext"/>
            </w:pPr>
            <w:r>
              <w:t xml:space="preserve">Distributors will report all complaints in relation to the product(s) covered by this Target Market Determination on a </w:t>
            </w:r>
            <w:r>
              <w:rPr>
                <w:iCs/>
              </w:rPr>
              <w:t>monthly</w:t>
            </w:r>
            <w:r>
              <w:t xml:space="preserve"> basis. This will include written details of the complaints.</w:t>
            </w:r>
          </w:p>
        </w:tc>
      </w:tr>
      <w:tr w:rsidR="00604D17" w14:paraId="4F9B3890" w14:textId="77777777" w:rsidTr="00604D17">
        <w:trPr>
          <w:trHeight w:val="680"/>
        </w:trPr>
        <w:tc>
          <w:tcPr>
            <w:tcW w:w="2176" w:type="dxa"/>
            <w:tcBorders>
              <w:top w:val="single" w:sz="4" w:space="0" w:color="BFBFBF" w:themeColor="background1" w:themeShade="BF"/>
              <w:left w:val="nil"/>
              <w:bottom w:val="nil"/>
              <w:right w:val="single" w:sz="4" w:space="0" w:color="BFBFBF" w:themeColor="background1" w:themeShade="BF"/>
            </w:tcBorders>
            <w:hideMark/>
          </w:tcPr>
          <w:p w14:paraId="2EE19E63" w14:textId="77777777" w:rsidR="00604D17" w:rsidRDefault="00604D17" w:rsidP="00604D17">
            <w:pPr>
              <w:pStyle w:val="Tablecolhead"/>
            </w:pPr>
            <w:r>
              <w:t>Significant dealings</w:t>
            </w:r>
          </w:p>
        </w:tc>
        <w:tc>
          <w:tcPr>
            <w:tcW w:w="6896" w:type="dxa"/>
            <w:tcBorders>
              <w:top w:val="single" w:sz="4" w:space="0" w:color="BFBFBF" w:themeColor="background1" w:themeShade="BF"/>
              <w:left w:val="single" w:sz="4" w:space="0" w:color="BFBFBF" w:themeColor="background1" w:themeShade="BF"/>
              <w:bottom w:val="nil"/>
              <w:right w:val="nil"/>
            </w:tcBorders>
            <w:hideMark/>
          </w:tcPr>
          <w:p w14:paraId="2085FF2E" w14:textId="77777777" w:rsidR="00604D17" w:rsidRDefault="00604D17" w:rsidP="00604D17">
            <w:pPr>
              <w:pStyle w:val="Tabletext"/>
            </w:pPr>
            <w:r>
              <w:t>Distributors will report if they become aware of a significant dealing in relation to this Target Market Determination within 10 business days.</w:t>
            </w:r>
          </w:p>
        </w:tc>
      </w:tr>
    </w:tbl>
    <w:p w14:paraId="51C3194C" w14:textId="44AE6BED" w:rsidR="00604D17" w:rsidRDefault="00604D17" w:rsidP="001749F4">
      <w:pPr>
        <w:pStyle w:val="Body"/>
      </w:pPr>
    </w:p>
    <w:p w14:paraId="726F2B7A" w14:textId="11735361" w:rsidR="00604D17" w:rsidRPr="00604D17" w:rsidRDefault="00604D17" w:rsidP="00604D17">
      <w:pPr>
        <w:pStyle w:val="Body"/>
        <w:rPr>
          <w:b/>
          <w:bCs/>
        </w:rPr>
      </w:pPr>
      <w:r w:rsidRPr="00604D17">
        <w:rPr>
          <w:b/>
          <w:bCs/>
        </w:rPr>
        <w:t>Document owner: Indue Ltd</w:t>
      </w:r>
    </w:p>
    <w:tbl>
      <w:tblPr>
        <w:tblStyle w:val="TableGrid"/>
        <w:tblW w:w="0" w:type="auto"/>
        <w:tblCellMar>
          <w:bottom w:w="108" w:type="dxa"/>
        </w:tblCellMar>
        <w:tblLook w:val="0600" w:firstRow="0" w:lastRow="0" w:firstColumn="0" w:lastColumn="0" w:noHBand="1" w:noVBand="1"/>
      </w:tblPr>
      <w:tblGrid>
        <w:gridCol w:w="10194"/>
      </w:tblGrid>
      <w:tr w:rsidR="001749F4" w14:paraId="191BCDD2" w14:textId="77777777" w:rsidTr="00A36064">
        <w:tc>
          <w:tcPr>
            <w:tcW w:w="10194" w:type="dxa"/>
          </w:tcPr>
          <w:p w14:paraId="68302C59" w14:textId="234C2B21" w:rsidR="001749F4" w:rsidRPr="0055119B" w:rsidRDefault="001749F4" w:rsidP="00A36064">
            <w:pPr>
              <w:pStyle w:val="Accessibilitypara"/>
            </w:pPr>
            <w:bookmarkStart w:id="10" w:name="_Hlk37240926"/>
            <w:r w:rsidRPr="0055119B">
              <w:t>To receive this document in another format</w:t>
            </w:r>
            <w:r>
              <w:t>,</w:t>
            </w:r>
            <w:r w:rsidRPr="0055119B">
              <w:t xml:space="preserve"> </w:t>
            </w:r>
            <w:hyperlink r:id="rId15" w:history="1">
              <w:r w:rsidR="00746873" w:rsidRPr="00BB754C">
                <w:rPr>
                  <w:rStyle w:val="Hyperlink"/>
                </w:rPr>
                <w:t>email the Emergency Management Branch</w:t>
              </w:r>
            </w:hyperlink>
            <w:r w:rsidR="00746873">
              <w:t xml:space="preserve"> </w:t>
            </w:r>
            <w:r w:rsidR="00746873" w:rsidRPr="0055119B">
              <w:t>&lt;</w:t>
            </w:r>
            <w:r w:rsidR="00746873" w:rsidRPr="00BB754C">
              <w:t>emb@dffh.vic.gov.au</w:t>
            </w:r>
            <w:r w:rsidR="00746873" w:rsidRPr="0055119B">
              <w:t>&gt;.</w:t>
            </w:r>
          </w:p>
          <w:p w14:paraId="1B22317E" w14:textId="77777777" w:rsidR="001749F4" w:rsidRPr="0055119B" w:rsidRDefault="001749F4" w:rsidP="00A36064">
            <w:pPr>
              <w:pStyle w:val="Imprint"/>
            </w:pPr>
            <w:r w:rsidRPr="0055119B">
              <w:t>Authorised and published by the Victorian Government, 1 Treasury Place, Melbourne.</w:t>
            </w:r>
          </w:p>
          <w:p w14:paraId="09D17C7A" w14:textId="4D91EAFE" w:rsidR="001749F4" w:rsidRPr="0055119B" w:rsidRDefault="001749F4" w:rsidP="00A36064">
            <w:pPr>
              <w:pStyle w:val="Imprint"/>
            </w:pPr>
            <w:r w:rsidRPr="0055119B">
              <w:t xml:space="preserve">© State of Victoria, Australia, Department </w:t>
            </w:r>
            <w:r w:rsidRPr="001B058F">
              <w:t xml:space="preserve">of </w:t>
            </w:r>
            <w:r>
              <w:t>Families, Fairness and Housing</w:t>
            </w:r>
            <w:r w:rsidRPr="0055119B">
              <w:t xml:space="preserve">, </w:t>
            </w:r>
            <w:r w:rsidR="00746873">
              <w:t>January 2022</w:t>
            </w:r>
            <w:r w:rsidRPr="0055119B">
              <w:t>.</w:t>
            </w:r>
          </w:p>
          <w:p w14:paraId="44A115A8" w14:textId="6804EEAC" w:rsidR="001749F4" w:rsidRPr="0055119B" w:rsidRDefault="001749F4" w:rsidP="00A36064">
            <w:pPr>
              <w:pStyle w:val="Imprint"/>
            </w:pPr>
            <w:bookmarkStart w:id="11" w:name="_Hlk62746129"/>
            <w:r w:rsidRPr="0055119B">
              <w:t xml:space="preserve">ISBN </w:t>
            </w:r>
            <w:r w:rsidR="00DA3BF8" w:rsidRPr="00DA3BF8">
              <w:rPr>
                <w:rFonts w:eastAsia="Times New Roman" w:cs="Arial"/>
                <w:color w:val="000000"/>
              </w:rPr>
              <w:t>978-1-76096-720-8</w:t>
            </w:r>
          </w:p>
          <w:p w14:paraId="72C8B6DA" w14:textId="5B6A77C9" w:rsidR="001749F4" w:rsidRDefault="001749F4" w:rsidP="00A36064">
            <w:pPr>
              <w:pStyle w:val="Imprint"/>
            </w:pPr>
            <w:r w:rsidRPr="0055119B">
              <w:t xml:space="preserve">Available at </w:t>
            </w:r>
            <w:hyperlink r:id="rId16" w:history="1">
              <w:r w:rsidR="00746873">
                <w:rPr>
                  <w:rStyle w:val="Hyperlink"/>
                </w:rPr>
                <w:t>Personal Hardship Assistance Program (dffh.vic.gov.au)</w:t>
              </w:r>
            </w:hyperlink>
            <w:r w:rsidR="00746873" w:rsidRPr="0055119B">
              <w:t xml:space="preserve"> &lt;</w:t>
            </w:r>
            <w:r w:rsidR="00746873" w:rsidRPr="000F5CC6">
              <w:t>https://services.dffh.vic.gov.au/personal-hardship-assistance-program</w:t>
            </w:r>
            <w:r w:rsidR="00746873" w:rsidRPr="0055119B">
              <w:t>&gt;</w:t>
            </w:r>
            <w:bookmarkEnd w:id="11"/>
          </w:p>
        </w:tc>
      </w:tr>
      <w:bookmarkEnd w:id="10"/>
    </w:tbl>
    <w:p w14:paraId="5AB3B83F" w14:textId="77777777" w:rsidR="001749F4" w:rsidRDefault="001749F4" w:rsidP="001749F4">
      <w:pPr>
        <w:pStyle w:val="Body"/>
      </w:pPr>
    </w:p>
    <w:p w14:paraId="312DEA78" w14:textId="77777777" w:rsidR="00162CA9" w:rsidRDefault="00162CA9" w:rsidP="001749F4">
      <w:pPr>
        <w:pStyle w:val="Body"/>
        <w:spacing w:before="120"/>
      </w:pPr>
    </w:p>
    <w:sectPr w:rsidR="00162CA9" w:rsidSect="00425615">
      <w:footerReference w:type="default" r:id="rId1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4F4D" w14:textId="77777777" w:rsidR="00077F81" w:rsidRDefault="00077F81">
      <w:r>
        <w:separator/>
      </w:r>
    </w:p>
    <w:p w14:paraId="2BC3DEB1" w14:textId="77777777" w:rsidR="00077F81" w:rsidRDefault="00077F81"/>
  </w:endnote>
  <w:endnote w:type="continuationSeparator" w:id="0">
    <w:p w14:paraId="68CE4194" w14:textId="77777777" w:rsidR="00077F81" w:rsidRDefault="00077F81">
      <w:r>
        <w:continuationSeparator/>
      </w:r>
    </w:p>
    <w:p w14:paraId="4BB6C1F0" w14:textId="77777777" w:rsidR="00077F81" w:rsidRDefault="00077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27D4018" w:rsidR="00FE3603" w:rsidRPr="00F65AA9" w:rsidRDefault="00FE3603" w:rsidP="00EF2C72">
    <w:pPr>
      <w:pStyle w:val="Footer"/>
    </w:pPr>
    <w:r>
      <w:rPr>
        <w:noProof/>
        <w:lang w:eastAsia="en-AU"/>
      </w:rPr>
      <mc:AlternateContent>
        <mc:Choice Requires="wps">
          <w:drawing>
            <wp:anchor distT="0" distB="0" distL="114300" distR="114300" simplePos="0" relativeHeight="251654144" behindDoc="0" locked="0" layoutInCell="0" allowOverlap="1" wp14:anchorId="3F220AE8" wp14:editId="0A10A99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2D0E115" w:rsidR="00FE3603" w:rsidRPr="00B21F90" w:rsidRDefault="00FE360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2D0E115" w:rsidR="00FE3603" w:rsidRPr="00B21F90" w:rsidRDefault="00FE3603" w:rsidP="00B21F90">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3C45F924" w:rsidR="00FE3603" w:rsidRDefault="00FE3603">
    <w:pPr>
      <w:pStyle w:val="Footer"/>
    </w:pPr>
    <w:r>
      <w:rPr>
        <w:noProof/>
        <w:lang w:eastAsia="en-AU"/>
      </w:rPr>
      <w:drawing>
        <wp:anchor distT="0" distB="0" distL="114300" distR="114300" simplePos="0" relativeHeight="251666432" behindDoc="1" locked="1" layoutInCell="1" allowOverlap="1" wp14:anchorId="6373AF45" wp14:editId="58704A73">
          <wp:simplePos x="0" y="0"/>
          <wp:positionH relativeFrom="page">
            <wp:align>right</wp:align>
          </wp:positionH>
          <wp:positionV relativeFrom="page">
            <wp:align>bottom</wp:align>
          </wp:positionV>
          <wp:extent cx="7559675" cy="1746250"/>
          <wp:effectExtent l="0" t="0" r="3175" b="0"/>
          <wp:wrapNone/>
          <wp:docPr id="7" name="Picture 7"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Department of Families, Fairness and Housing"/>
                  <pic:cNvPicPr/>
                </pic:nvPicPr>
                <pic:blipFill>
                  <a:blip r:embed="rId1"/>
                  <a:stretch>
                    <a:fillRect/>
                  </a:stretch>
                </pic:blipFill>
                <pic:spPr>
                  <a:xfrm>
                    <a:off x="0" y="0"/>
                    <a:ext cx="7559675" cy="1746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257E66D" w:rsidR="00FE3603" w:rsidRPr="00B21F90" w:rsidRDefault="00FE360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5257E66D" w:rsidR="00FE3603" w:rsidRPr="00B21F90" w:rsidRDefault="00FE360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7EAE8334" w:rsidR="00FE3603" w:rsidRPr="00F65AA9" w:rsidRDefault="00FE3603" w:rsidP="00EF2C72">
    <w:pPr>
      <w:pStyle w:val="Footer"/>
    </w:pPr>
    <w:r>
      <w:rPr>
        <w:noProof/>
      </w:rPr>
      <mc:AlternateContent>
        <mc:Choice Requires="wps">
          <w:drawing>
            <wp:anchor distT="0" distB="0" distL="114300" distR="114300" simplePos="0" relativeHeight="251664384" behindDoc="0" locked="0" layoutInCell="0" allowOverlap="1" wp14:anchorId="07EC6432" wp14:editId="03EA5D3D">
              <wp:simplePos x="0" y="0"/>
              <wp:positionH relativeFrom="page">
                <wp:posOffset>0</wp:posOffset>
              </wp:positionH>
              <wp:positionV relativeFrom="page">
                <wp:posOffset>10189210</wp:posOffset>
              </wp:positionV>
              <wp:extent cx="7560310" cy="311785"/>
              <wp:effectExtent l="0" t="0" r="0" b="12065"/>
              <wp:wrapNone/>
              <wp:docPr id="4" name="MSIPCMc13f4123861155a925f769e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7BE87" w14:textId="112FD0EC" w:rsidR="00FE3603" w:rsidRPr="005A2AF8" w:rsidRDefault="00FE3603" w:rsidP="005A2AF8">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EC6432" id="_x0000_t202" coordsize="21600,21600" o:spt="202" path="m,l,21600r21600,l21600,xe">
              <v:stroke joinstyle="miter"/>
              <v:path gradientshapeok="t" o:connecttype="rect"/>
            </v:shapetype>
            <v:shape id="MSIPCMc13f4123861155a925f769ec"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77BE87" w14:textId="112FD0EC" w:rsidR="00FE3603" w:rsidRPr="005A2AF8" w:rsidRDefault="00FE3603" w:rsidP="005A2AF8">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D102" w14:textId="77777777" w:rsidR="00077F81" w:rsidRDefault="00077F81" w:rsidP="00207717">
      <w:pPr>
        <w:spacing w:before="120"/>
      </w:pPr>
      <w:r>
        <w:separator/>
      </w:r>
    </w:p>
  </w:footnote>
  <w:footnote w:type="continuationSeparator" w:id="0">
    <w:p w14:paraId="487DC234" w14:textId="77777777" w:rsidR="00077F81" w:rsidRDefault="00077F81">
      <w:r>
        <w:continuationSeparator/>
      </w:r>
    </w:p>
    <w:p w14:paraId="1B90252D" w14:textId="77777777" w:rsidR="00077F81" w:rsidRDefault="00077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FE3603" w:rsidRDefault="00FE3603"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2E67E6F"/>
    <w:multiLevelType w:val="multilevel"/>
    <w:tmpl w:val="3A0084F4"/>
    <w:lvl w:ilvl="0">
      <w:start w:val="1"/>
      <w:numFmt w:val="decimal"/>
      <w:lvlText w:val="%1."/>
      <w:lvlJc w:val="left"/>
      <w:pPr>
        <w:tabs>
          <w:tab w:val="num" w:pos="680"/>
        </w:tabs>
        <w:ind w:left="680" w:hanging="680"/>
      </w:pPr>
      <w:rPr>
        <w:rFonts w:ascii="Georgia" w:hAnsi="Georgia" w:hint="default"/>
        <w:b/>
        <w:i w:val="0"/>
        <w:caps w:val="0"/>
        <w:strike w:val="0"/>
        <w:dstrike w:val="0"/>
        <w:vanish w:val="0"/>
        <w:webHidden w:val="0"/>
        <w:color w:val="000000"/>
        <w:sz w:val="24"/>
        <w:szCs w:val="24"/>
        <w:u w:val="none"/>
        <w:effect w:val="none"/>
        <w:vertAlign w:val="baseline"/>
        <w:specVanish w:val="0"/>
      </w:rPr>
    </w:lvl>
    <w:lvl w:ilvl="1">
      <w:start w:val="1"/>
      <w:numFmt w:val="decimal"/>
      <w:lvlText w:val="%1.%2"/>
      <w:lvlJc w:val="left"/>
      <w:pPr>
        <w:tabs>
          <w:tab w:val="num" w:pos="822"/>
        </w:tabs>
        <w:ind w:left="822" w:hanging="680"/>
      </w:pPr>
      <w:rPr>
        <w:rFonts w:ascii="Georgia" w:hAnsi="Georgia" w:hint="default"/>
        <w:b w:val="0"/>
        <w:i w:val="0"/>
        <w:caps w:val="0"/>
        <w:strike w:val="0"/>
        <w:dstrike w:val="0"/>
        <w:vanish w:val="0"/>
        <w:webHidden w:val="0"/>
        <w:color w:val="auto"/>
        <w:sz w:val="20"/>
        <w:szCs w:val="20"/>
        <w:u w:val="none"/>
        <w:effect w:val="none"/>
        <w:vertAlign w:val="baseline"/>
        <w:specVanish w:val="0"/>
      </w:rPr>
    </w:lvl>
    <w:lvl w:ilvl="2">
      <w:start w:val="1"/>
      <w:numFmt w:val="decimal"/>
      <w:lvlText w:val="(%3)"/>
      <w:lvlJc w:val="left"/>
      <w:pPr>
        <w:tabs>
          <w:tab w:val="num" w:pos="1361"/>
        </w:tabs>
        <w:ind w:left="1361" w:hanging="681"/>
      </w:pPr>
      <w:rPr>
        <w:rFonts w:ascii="Arial" w:eastAsia="Times New Roman" w:hAnsi="Arial" w:cs="Arial"/>
        <w:b w:val="0"/>
        <w:i w:val="0"/>
        <w:caps w:val="0"/>
        <w:strike w:val="0"/>
        <w:dstrike w:val="0"/>
        <w:vanish w:val="0"/>
        <w:webHidden w:val="0"/>
        <w:color w:val="auto"/>
        <w:sz w:val="18"/>
        <w:szCs w:val="18"/>
        <w:u w:val="none"/>
        <w:effect w:val="none"/>
        <w:vertAlign w:val="baseline"/>
        <w:specVanish w:val="0"/>
      </w:rPr>
    </w:lvl>
    <w:lvl w:ilvl="3">
      <w:start w:val="1"/>
      <w:numFmt w:val="lowerLetter"/>
      <w:pStyle w:val="IndueStyle4"/>
      <w:lvlText w:val="(%4)"/>
      <w:lvlJc w:val="left"/>
      <w:pPr>
        <w:tabs>
          <w:tab w:val="num" w:pos="2041"/>
        </w:tabs>
        <w:ind w:left="2041" w:hanging="680"/>
      </w:pPr>
      <w:rPr>
        <w:rFonts w:ascii="Arial" w:eastAsia="Times New Roman" w:hAnsi="Arial" w:cs="Arial"/>
        <w:b w:val="0"/>
        <w:i w:val="0"/>
        <w:caps w:val="0"/>
        <w:strike w:val="0"/>
        <w:dstrike w:val="0"/>
        <w:vanish w:val="0"/>
        <w:webHidden w:val="0"/>
        <w:color w:val="auto"/>
        <w:sz w:val="18"/>
        <w:szCs w:val="18"/>
        <w:u w:val="none"/>
        <w:effect w:val="none"/>
        <w:vertAlign w:val="baseline"/>
        <w:specVanish w:val="0"/>
      </w:rPr>
    </w:lvl>
    <w:lvl w:ilvl="4">
      <w:start w:val="1"/>
      <w:numFmt w:val="lowerRoman"/>
      <w:lvlText w:val="(%5)"/>
      <w:lvlJc w:val="left"/>
      <w:pPr>
        <w:tabs>
          <w:tab w:val="num" w:pos="2722"/>
        </w:tabs>
        <w:ind w:left="2722" w:hanging="681"/>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5">
      <w:start w:val="1"/>
      <w:numFmt w:val="lowerRoman"/>
      <w:lvlText w:val="(%6)"/>
      <w:lvlJc w:val="left"/>
      <w:pPr>
        <w:tabs>
          <w:tab w:val="num" w:pos="3402"/>
        </w:tabs>
        <w:ind w:left="3402" w:hanging="680"/>
      </w:pPr>
      <w:rPr>
        <w:rFonts w:ascii="Arial" w:eastAsia="Times New Roman" w:hAnsi="Arial" w:cs="Arial"/>
        <w:b w:val="0"/>
        <w:i w:val="0"/>
        <w:caps w:val="0"/>
        <w:strike w:val="0"/>
        <w:dstrike w:val="0"/>
        <w:vanish w:val="0"/>
        <w:webHidden w:val="0"/>
        <w:color w:val="auto"/>
        <w:sz w:val="20"/>
        <w:szCs w:val="20"/>
        <w:u w:val="none"/>
        <w:effect w:val="none"/>
        <w:vertAlign w:val="baseline"/>
        <w:specVanish w:val="0"/>
      </w:rPr>
    </w:lvl>
    <w:lvl w:ilvl="6">
      <w:start w:val="1"/>
      <w:numFmt w:val="upperRoman"/>
      <w:lvlText w:val="(%7)"/>
      <w:lvlJc w:val="left"/>
      <w:pPr>
        <w:tabs>
          <w:tab w:val="num" w:pos="4082"/>
        </w:tabs>
        <w:ind w:left="4082" w:hanging="680"/>
      </w:pPr>
      <w:rPr>
        <w:rFonts w:ascii="CG Omega" w:hAnsi="CG Omega" w:hint="default"/>
        <w:b w:val="0"/>
        <w:i w:val="0"/>
        <w:caps w:val="0"/>
        <w:strike w:val="0"/>
        <w:dstrike w:val="0"/>
        <w:vanish w:val="0"/>
        <w:webHidden w:val="0"/>
        <w:color w:val="auto"/>
        <w:sz w:val="22"/>
        <w:u w:val="none"/>
        <w:effect w:val="none"/>
        <w:vertAlign w:val="baseline"/>
        <w:specVanish w:val="0"/>
      </w:rPr>
    </w:lvl>
    <w:lvl w:ilvl="7">
      <w:start w:val="1"/>
      <w:numFmt w:val="none"/>
      <w:lvlText w:val=""/>
      <w:lvlJc w:val="left"/>
      <w:pPr>
        <w:tabs>
          <w:tab w:val="num" w:pos="5672"/>
        </w:tabs>
        <w:ind w:left="5672" w:hanging="709"/>
      </w:pPr>
    </w:lvl>
    <w:lvl w:ilvl="8">
      <w:start w:val="1"/>
      <w:numFmt w:val="none"/>
      <w:lvlText w:val=""/>
      <w:lvlJc w:val="left"/>
      <w:pPr>
        <w:tabs>
          <w:tab w:val="num" w:pos="6381"/>
        </w:tabs>
        <w:ind w:left="6381" w:hanging="709"/>
      </w:pPr>
    </w:lvl>
  </w:abstractNum>
  <w:abstractNum w:abstractNumId="2" w15:restartNumberingAfterBreak="0">
    <w:nsid w:val="2A815F2F"/>
    <w:multiLevelType w:val="hybridMultilevel"/>
    <w:tmpl w:val="6390E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5F14D66"/>
    <w:multiLevelType w:val="hybridMultilevel"/>
    <w:tmpl w:val="0CAC70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C04337C"/>
    <w:multiLevelType w:val="hybridMultilevel"/>
    <w:tmpl w:val="C7160D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3729283">
    <w:abstractNumId w:val="3"/>
  </w:num>
  <w:num w:numId="2" w16cid:durableId="1114986047">
    <w:abstractNumId w:val="6"/>
  </w:num>
  <w:num w:numId="3" w16cid:durableId="494297035">
    <w:abstractNumId w:val="5"/>
  </w:num>
  <w:num w:numId="4" w16cid:durableId="672489732">
    <w:abstractNumId w:val="8"/>
  </w:num>
  <w:num w:numId="5" w16cid:durableId="1931886289">
    <w:abstractNumId w:val="4"/>
  </w:num>
  <w:num w:numId="6" w16cid:durableId="480656369">
    <w:abstractNumId w:val="0"/>
  </w:num>
  <w:num w:numId="7" w16cid:durableId="2115512578">
    <w:abstractNumId w:val="9"/>
  </w:num>
  <w:num w:numId="8" w16cid:durableId="379980355">
    <w:abstractNumId w:val="7"/>
  </w:num>
  <w:num w:numId="9" w16cid:durableId="1561945320">
    <w:abstractNumId w:val="2"/>
  </w:num>
  <w:num w:numId="10" w16cid:durableId="288560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624"/>
    <w:rsid w:val="000527DD"/>
    <w:rsid w:val="000578B2"/>
    <w:rsid w:val="00060959"/>
    <w:rsid w:val="00060C8F"/>
    <w:rsid w:val="0006298A"/>
    <w:rsid w:val="000663CD"/>
    <w:rsid w:val="000733FE"/>
    <w:rsid w:val="00074219"/>
    <w:rsid w:val="00074ED5"/>
    <w:rsid w:val="00077F81"/>
    <w:rsid w:val="0008508E"/>
    <w:rsid w:val="00086557"/>
    <w:rsid w:val="000865DE"/>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D7C"/>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543"/>
    <w:rsid w:val="001447B3"/>
    <w:rsid w:val="00152073"/>
    <w:rsid w:val="00156598"/>
    <w:rsid w:val="00161939"/>
    <w:rsid w:val="00161AA0"/>
    <w:rsid w:val="00161D2E"/>
    <w:rsid w:val="00161F3E"/>
    <w:rsid w:val="00162093"/>
    <w:rsid w:val="00162CA9"/>
    <w:rsid w:val="00165459"/>
    <w:rsid w:val="00165A57"/>
    <w:rsid w:val="001712C2"/>
    <w:rsid w:val="00172BAF"/>
    <w:rsid w:val="001749F4"/>
    <w:rsid w:val="0017674D"/>
    <w:rsid w:val="001771DD"/>
    <w:rsid w:val="00177995"/>
    <w:rsid w:val="00177A8C"/>
    <w:rsid w:val="00186B33"/>
    <w:rsid w:val="00192F9D"/>
    <w:rsid w:val="00196EB8"/>
    <w:rsid w:val="00196EFB"/>
    <w:rsid w:val="001979FF"/>
    <w:rsid w:val="00197B17"/>
    <w:rsid w:val="001A1950"/>
    <w:rsid w:val="001A1C54"/>
    <w:rsid w:val="001A202A"/>
    <w:rsid w:val="001A3952"/>
    <w:rsid w:val="001A3ACE"/>
    <w:rsid w:val="001A5804"/>
    <w:rsid w:val="001B058F"/>
    <w:rsid w:val="001B6B96"/>
    <w:rsid w:val="001B7228"/>
    <w:rsid w:val="001B738B"/>
    <w:rsid w:val="001C09DB"/>
    <w:rsid w:val="001C191C"/>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932"/>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6CD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418"/>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65476"/>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25615"/>
    <w:rsid w:val="00430393"/>
    <w:rsid w:val="00431806"/>
    <w:rsid w:val="004350F9"/>
    <w:rsid w:val="00437AC5"/>
    <w:rsid w:val="0044014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86A"/>
    <w:rsid w:val="00492DCD"/>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3DB3"/>
    <w:rsid w:val="00536499"/>
    <w:rsid w:val="0054146B"/>
    <w:rsid w:val="00542A03"/>
    <w:rsid w:val="00543903"/>
    <w:rsid w:val="00543F11"/>
    <w:rsid w:val="00546305"/>
    <w:rsid w:val="00547A95"/>
    <w:rsid w:val="0055119B"/>
    <w:rsid w:val="00561202"/>
    <w:rsid w:val="00572031"/>
    <w:rsid w:val="00572282"/>
    <w:rsid w:val="00573CE3"/>
    <w:rsid w:val="00575A06"/>
    <w:rsid w:val="00576E84"/>
    <w:rsid w:val="00580394"/>
    <w:rsid w:val="005809CD"/>
    <w:rsid w:val="00582B8C"/>
    <w:rsid w:val="0058459A"/>
    <w:rsid w:val="0058757E"/>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659"/>
    <w:rsid w:val="005D07B8"/>
    <w:rsid w:val="005D1125"/>
    <w:rsid w:val="005D6597"/>
    <w:rsid w:val="005E14E7"/>
    <w:rsid w:val="005E26A3"/>
    <w:rsid w:val="005E2ECB"/>
    <w:rsid w:val="005E447E"/>
    <w:rsid w:val="005E4FD1"/>
    <w:rsid w:val="005F0775"/>
    <w:rsid w:val="005F0CF5"/>
    <w:rsid w:val="005F21EB"/>
    <w:rsid w:val="005F64CF"/>
    <w:rsid w:val="006041AD"/>
    <w:rsid w:val="00604D17"/>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929"/>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1DD4"/>
    <w:rsid w:val="0069249B"/>
    <w:rsid w:val="006933B5"/>
    <w:rsid w:val="00693D14"/>
    <w:rsid w:val="00695A93"/>
    <w:rsid w:val="00696F27"/>
    <w:rsid w:val="006A18C2"/>
    <w:rsid w:val="006A3383"/>
    <w:rsid w:val="006A5586"/>
    <w:rsid w:val="006B077C"/>
    <w:rsid w:val="006B16AF"/>
    <w:rsid w:val="006B6803"/>
    <w:rsid w:val="006D0F16"/>
    <w:rsid w:val="006D2A3F"/>
    <w:rsid w:val="006D2FBC"/>
    <w:rsid w:val="006E138B"/>
    <w:rsid w:val="006E1867"/>
    <w:rsid w:val="006F0330"/>
    <w:rsid w:val="006F1FDC"/>
    <w:rsid w:val="006F6B8C"/>
    <w:rsid w:val="007013EF"/>
    <w:rsid w:val="007055BD"/>
    <w:rsid w:val="00714BEC"/>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873"/>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FA5"/>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A740D"/>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6B12"/>
    <w:rsid w:val="00A22229"/>
    <w:rsid w:val="00A237B8"/>
    <w:rsid w:val="00A24442"/>
    <w:rsid w:val="00A252B9"/>
    <w:rsid w:val="00A30B84"/>
    <w:rsid w:val="00A32577"/>
    <w:rsid w:val="00A330BB"/>
    <w:rsid w:val="00A34ACD"/>
    <w:rsid w:val="00A36064"/>
    <w:rsid w:val="00A44882"/>
    <w:rsid w:val="00A45125"/>
    <w:rsid w:val="00A54715"/>
    <w:rsid w:val="00A6061C"/>
    <w:rsid w:val="00A6121D"/>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649F"/>
    <w:rsid w:val="00B21F90"/>
    <w:rsid w:val="00B22291"/>
    <w:rsid w:val="00B23F9A"/>
    <w:rsid w:val="00B2417B"/>
    <w:rsid w:val="00B24E6F"/>
    <w:rsid w:val="00B26CB5"/>
    <w:rsid w:val="00B2752E"/>
    <w:rsid w:val="00B307CC"/>
    <w:rsid w:val="00B326B7"/>
    <w:rsid w:val="00B337F3"/>
    <w:rsid w:val="00B3588E"/>
    <w:rsid w:val="00B4198F"/>
    <w:rsid w:val="00B41F3D"/>
    <w:rsid w:val="00B431E8"/>
    <w:rsid w:val="00B45141"/>
    <w:rsid w:val="00B519CD"/>
    <w:rsid w:val="00B5273A"/>
    <w:rsid w:val="00B57329"/>
    <w:rsid w:val="00B57593"/>
    <w:rsid w:val="00B60E61"/>
    <w:rsid w:val="00B61C82"/>
    <w:rsid w:val="00B62B50"/>
    <w:rsid w:val="00B635B7"/>
    <w:rsid w:val="00B63AE8"/>
    <w:rsid w:val="00B65950"/>
    <w:rsid w:val="00B66D83"/>
    <w:rsid w:val="00B672C0"/>
    <w:rsid w:val="00B676FD"/>
    <w:rsid w:val="00B678B6"/>
    <w:rsid w:val="00B75646"/>
    <w:rsid w:val="00B7629E"/>
    <w:rsid w:val="00B90729"/>
    <w:rsid w:val="00B907DA"/>
    <w:rsid w:val="00B950BC"/>
    <w:rsid w:val="00B953E0"/>
    <w:rsid w:val="00B9714C"/>
    <w:rsid w:val="00B97A42"/>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0B1A"/>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E4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3BF8"/>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533"/>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4E05"/>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919"/>
    <w:rsid w:val="00FA2C46"/>
    <w:rsid w:val="00FA3525"/>
    <w:rsid w:val="00FA5A53"/>
    <w:rsid w:val="00FB0C82"/>
    <w:rsid w:val="00FB3501"/>
    <w:rsid w:val="00FB4769"/>
    <w:rsid w:val="00FB4CDA"/>
    <w:rsid w:val="00FB6481"/>
    <w:rsid w:val="00FB6D36"/>
    <w:rsid w:val="00FC0965"/>
    <w:rsid w:val="00FC0F81"/>
    <w:rsid w:val="00FC252F"/>
    <w:rsid w:val="00FC395C"/>
    <w:rsid w:val="00FC5E8E"/>
    <w:rsid w:val="00FD3766"/>
    <w:rsid w:val="00FD47C4"/>
    <w:rsid w:val="00FE2DCF"/>
    <w:rsid w:val="00FE3603"/>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1749F4"/>
    <w:pPr>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604D17"/>
    <w:pPr>
      <w:spacing w:after="160" w:line="256" w:lineRule="auto"/>
      <w:ind w:left="720"/>
      <w:contextualSpacing/>
    </w:pPr>
    <w:rPr>
      <w:rFonts w:asciiTheme="minorHAnsi" w:eastAsiaTheme="minorHAnsi" w:hAnsiTheme="minorHAnsi" w:cstheme="minorBidi"/>
      <w:sz w:val="22"/>
      <w:szCs w:val="22"/>
    </w:rPr>
  </w:style>
  <w:style w:type="paragraph" w:customStyle="1" w:styleId="IndueStyle4">
    <w:name w:val="Indue Style4"/>
    <w:basedOn w:val="Normal"/>
    <w:rsid w:val="00604D17"/>
    <w:pPr>
      <w:numPr>
        <w:ilvl w:val="3"/>
        <w:numId w:val="10"/>
      </w:numPr>
      <w:spacing w:after="160" w:line="25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024389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8002608">
      <w:bodyDiv w:val="1"/>
      <w:marLeft w:val="0"/>
      <w:marRight w:val="0"/>
      <w:marTop w:val="0"/>
      <w:marBottom w:val="0"/>
      <w:divBdr>
        <w:top w:val="none" w:sz="0" w:space="0" w:color="auto"/>
        <w:left w:val="none" w:sz="0" w:space="0" w:color="auto"/>
        <w:bottom w:val="none" w:sz="0" w:space="0" w:color="auto"/>
        <w:right w:val="none" w:sz="0" w:space="0" w:color="auto"/>
      </w:divBdr>
    </w:div>
    <w:div w:id="1151866584">
      <w:bodyDiv w:val="1"/>
      <w:marLeft w:val="0"/>
      <w:marRight w:val="0"/>
      <w:marTop w:val="0"/>
      <w:marBottom w:val="0"/>
      <w:divBdr>
        <w:top w:val="none" w:sz="0" w:space="0" w:color="auto"/>
        <w:left w:val="none" w:sz="0" w:space="0" w:color="auto"/>
        <w:bottom w:val="none" w:sz="0" w:space="0" w:color="auto"/>
        <w:right w:val="none" w:sz="0" w:space="0" w:color="auto"/>
      </w:divBdr>
    </w:div>
    <w:div w:id="1215192814">
      <w:bodyDiv w:val="1"/>
      <w:marLeft w:val="0"/>
      <w:marRight w:val="0"/>
      <w:marTop w:val="0"/>
      <w:marBottom w:val="0"/>
      <w:divBdr>
        <w:top w:val="none" w:sz="0" w:space="0" w:color="auto"/>
        <w:left w:val="none" w:sz="0" w:space="0" w:color="auto"/>
        <w:bottom w:val="none" w:sz="0" w:space="0" w:color="auto"/>
        <w:right w:val="none" w:sz="0" w:space="0" w:color="auto"/>
      </w:divBdr>
    </w:div>
    <w:div w:id="1258052942">
      <w:bodyDiv w:val="1"/>
      <w:marLeft w:val="0"/>
      <w:marRight w:val="0"/>
      <w:marTop w:val="0"/>
      <w:marBottom w:val="0"/>
      <w:divBdr>
        <w:top w:val="none" w:sz="0" w:space="0" w:color="auto"/>
        <w:left w:val="none" w:sz="0" w:space="0" w:color="auto"/>
        <w:bottom w:val="none" w:sz="0" w:space="0" w:color="auto"/>
        <w:right w:val="none" w:sz="0" w:space="0" w:color="auto"/>
      </w:divBdr>
    </w:div>
    <w:div w:id="127278414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4565647">
      <w:bodyDiv w:val="1"/>
      <w:marLeft w:val="0"/>
      <w:marRight w:val="0"/>
      <w:marTop w:val="0"/>
      <w:marBottom w:val="0"/>
      <w:divBdr>
        <w:top w:val="none" w:sz="0" w:space="0" w:color="auto"/>
        <w:left w:val="none" w:sz="0" w:space="0" w:color="auto"/>
        <w:bottom w:val="none" w:sz="0" w:space="0" w:color="auto"/>
        <w:right w:val="none" w:sz="0" w:space="0" w:color="auto"/>
      </w:divBdr>
    </w:div>
    <w:div w:id="158160146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270955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388905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567090">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ervices.dffh.vic.gov.au/personal-hardship-assistance-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mb@dff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54a1af-5fa2-4cd8-95d2-61fa80146ccc">
      <Terms xmlns="http://schemas.microsoft.com/office/infopath/2007/PartnerControls"/>
    </lcf76f155ced4ddcb4097134ff3c332f>
    <dateandtime xmlns="c854a1af-5fa2-4cd8-95d2-61fa80146ccc" xsi:nil="true"/>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223F341D824B8595BB20CF32C09C" ma:contentTypeVersion="18" ma:contentTypeDescription="Create a new document." ma:contentTypeScope="" ma:versionID="d1d0a68051666c7d021622f677bb0ead">
  <xsd:schema xmlns:xsd="http://www.w3.org/2001/XMLSchema" xmlns:xs="http://www.w3.org/2001/XMLSchema" xmlns:p="http://schemas.microsoft.com/office/2006/metadata/properties" xmlns:ns2="c854a1af-5fa2-4cd8-95d2-61fa80146ccc" xmlns:ns3="9d6477fb-610c-414f-b1a8-bd2d8ac66288" xmlns:ns4="5ce0f2b5-5be5-4508-bce9-d7011ece0659" targetNamespace="http://schemas.microsoft.com/office/2006/metadata/properties" ma:root="true" ma:fieldsID="fa0ab8f56c19d0fedb74c52bfe17d0b6" ns2:_="" ns3:_="" ns4:_="">
    <xsd:import namespace="c854a1af-5fa2-4cd8-95d2-61fa80146ccc"/>
    <xsd:import namespace="9d6477fb-610c-414f-b1a8-bd2d8ac6628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dateandtim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4a1af-5fa2-4cd8-95d2-61fa80146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477fb-610c-414f-b1a8-bd2d8ac662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9df9e7-9fd1-4757-9f14-abf318208861}" ma:internalName="TaxCatchAll" ma:showField="CatchAllData" ma:web="9d6477fb-610c-414f-b1a8-bd2d8ac66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854a1af-5fa2-4cd8-95d2-61fa80146ccc"/>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D5F82BE-E049-4F48-B686-3A4518E2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4a1af-5fa2-4cd8-95d2-61fa80146ccc"/>
    <ds:schemaRef ds:uri="9d6477fb-610c-414f-b1a8-bd2d8ac6628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4629</Characters>
  <Application>Microsoft Office Word</Application>
  <DocSecurity>0</DocSecurity>
  <Lines>118</Lines>
  <Paragraphs>90</Paragraphs>
  <ScaleCrop>false</ScaleCrop>
  <HeadingPairs>
    <vt:vector size="2" baseType="variant">
      <vt:variant>
        <vt:lpstr>Title</vt:lpstr>
      </vt:variant>
      <vt:variant>
        <vt:i4>1</vt:i4>
      </vt:variant>
    </vt:vector>
  </HeadingPairs>
  <TitlesOfParts>
    <vt:vector size="1" baseType="lpstr">
      <vt:lpstr>Eftpos emergency relief reloadable Prepaid Card - Product disclosure statement</vt:lpstr>
    </vt:vector>
  </TitlesOfParts>
  <Company>Victoria State Government, Department of Families, Fairness and Housing</Company>
  <LinksUpToDate>false</LinksUpToDate>
  <CharactersWithSpaces>5242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Eftpos emergency relief reloadable Prepaid Card - Product disclosure statement</dc:title>
  <dc:subject>Eftpos emergency relief reloadable Prepaid Card - Product disclosure statement</dc:subject>
  <dc:creator>Emergency Management Branch</dc:creator>
  <cp:keywords>Eftpos emergency relief reloadable Prepaid Card Product disclosure statement</cp:keywords>
  <cp:revision>2</cp:revision>
  <cp:lastPrinted>2021-01-29T05:27:00Z</cp:lastPrinted>
  <dcterms:created xsi:type="dcterms:W3CDTF">2023-10-02T22:56:00Z</dcterms:created>
  <dcterms:modified xsi:type="dcterms:W3CDTF">2023-10-02T22:56:00Z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0x0101002578223F341D824B8595BB20CF32C09C</vt:lpwstr>
  </property>
  <property fmtid="{D5CDD505-2E9C-101B-9397-08002B2CF9AE}" pid="4" name="version">
    <vt:lpwstr>v5 17062021 sbv2 23112021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2022-01-19T06:08:20Z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fa533de8-b705-4b58-a2d0-5e28d248c85d</vt:lpwstr>
  </property>
  <property fmtid="{D5CDD505-2E9C-101B-9397-08002B2CF9AE}" pid="11" name="MSIP_Label_efdf5488-3066-4b6c-8fea-9472b8a1f34c_ContentBits">
    <vt:lpwstr>0</vt:lpwstr>
  </property>
  <property fmtid="{D5CDD505-2E9C-101B-9397-08002B2CF9AE}" pid="12" name="MediaServiceImageTags">
    <vt:lpwstr/>
  </property>
</Properties>
</file>