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57F3B984"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18FF4B0B" w14:textId="77777777" w:rsidTr="00DE02E4">
        <w:trPr>
          <w:cantSplit/>
        </w:trPr>
        <w:tc>
          <w:tcPr>
            <w:tcW w:w="0" w:type="auto"/>
            <w:tcMar>
              <w:top w:w="0" w:type="dxa"/>
              <w:left w:w="0" w:type="dxa"/>
              <w:right w:w="0" w:type="dxa"/>
            </w:tcMar>
          </w:tcPr>
          <w:p w14:paraId="30E6956D" w14:textId="61FA107F" w:rsidR="00AD784C" w:rsidRPr="00431F42" w:rsidRDefault="00CB55A5" w:rsidP="00431F42">
            <w:pPr>
              <w:pStyle w:val="Documenttitle"/>
            </w:pPr>
            <w:r>
              <w:t>Forensic Disability Access Policy</w:t>
            </w:r>
          </w:p>
        </w:tc>
      </w:tr>
      <w:tr w:rsidR="00AD784C" w14:paraId="246F9CB0" w14:textId="77777777" w:rsidTr="00DE02E4">
        <w:trPr>
          <w:cantSplit/>
        </w:trPr>
        <w:tc>
          <w:tcPr>
            <w:tcW w:w="0" w:type="auto"/>
          </w:tcPr>
          <w:p w14:paraId="14EEB3AC" w14:textId="169455D3" w:rsidR="00386109" w:rsidRPr="00A1389F" w:rsidRDefault="001975A5" w:rsidP="00C12B05">
            <w:pPr>
              <w:pStyle w:val="Documentsubtitle"/>
            </w:pPr>
            <w:r>
              <w:t>2025</w:t>
            </w:r>
          </w:p>
        </w:tc>
      </w:tr>
      <w:tr w:rsidR="00430393" w14:paraId="2AE57792" w14:textId="77777777" w:rsidTr="00DE02E4">
        <w:trPr>
          <w:cantSplit/>
        </w:trPr>
        <w:tc>
          <w:tcPr>
            <w:tcW w:w="0" w:type="auto"/>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4028DB6E" w14:textId="0B4EE14E" w:rsidR="00AD784C" w:rsidRPr="00B57329" w:rsidRDefault="00AD784C" w:rsidP="002365B4">
      <w:pPr>
        <w:pStyle w:val="TOCheadingreport"/>
      </w:pPr>
      <w:r w:rsidRPr="00B57329">
        <w:lastRenderedPageBreak/>
        <w:t>Contents</w:t>
      </w:r>
    </w:p>
    <w:p w14:paraId="33F517E6" w14:textId="0920A583" w:rsidR="00BA4A24" w:rsidRDefault="003B53B6">
      <w:pPr>
        <w:pStyle w:val="TOC2"/>
        <w:rPr>
          <w:rFonts w:asciiTheme="minorHAnsi" w:eastAsiaTheme="minorEastAsia" w:hAnsiTheme="minorHAnsi" w:cstheme="minorBidi"/>
          <w:kern w:val="2"/>
          <w:sz w:val="24"/>
          <w:szCs w:val="24"/>
          <w:lang w:eastAsia="en-AU"/>
          <w14:ligatures w14:val="standardContextual"/>
        </w:rPr>
      </w:pPr>
      <w:r>
        <w:rPr>
          <w:b/>
          <w:szCs w:val="21"/>
        </w:rPr>
        <w:fldChar w:fldCharType="begin"/>
      </w:r>
      <w:r>
        <w:rPr>
          <w:szCs w:val="21"/>
        </w:rPr>
        <w:instrText xml:space="preserve"> TOC \o "1-5" \h \z \u </w:instrText>
      </w:r>
      <w:r>
        <w:rPr>
          <w:b/>
          <w:szCs w:val="21"/>
        </w:rPr>
        <w:fldChar w:fldCharType="separate"/>
      </w:r>
      <w:hyperlink w:anchor="_Toc205460165" w:history="1">
        <w:r w:rsidR="00BA4A24" w:rsidRPr="000240AD">
          <w:rPr>
            <w:rStyle w:val="Hyperlink"/>
          </w:rPr>
          <w:t>1. Context and Scope</w:t>
        </w:r>
        <w:r w:rsidR="00BA4A24">
          <w:rPr>
            <w:webHidden/>
          </w:rPr>
          <w:tab/>
        </w:r>
        <w:r w:rsidR="00BA4A24">
          <w:rPr>
            <w:webHidden/>
          </w:rPr>
          <w:fldChar w:fldCharType="begin"/>
        </w:r>
        <w:r w:rsidR="00BA4A24">
          <w:rPr>
            <w:webHidden/>
          </w:rPr>
          <w:instrText xml:space="preserve"> PAGEREF _Toc205460165 \h </w:instrText>
        </w:r>
        <w:r w:rsidR="00BA4A24">
          <w:rPr>
            <w:webHidden/>
          </w:rPr>
        </w:r>
        <w:r w:rsidR="00BA4A24">
          <w:rPr>
            <w:webHidden/>
          </w:rPr>
          <w:fldChar w:fldCharType="separate"/>
        </w:r>
        <w:r w:rsidR="00B54CFB">
          <w:rPr>
            <w:webHidden/>
          </w:rPr>
          <w:t>3</w:t>
        </w:r>
        <w:r w:rsidR="00BA4A24">
          <w:rPr>
            <w:webHidden/>
          </w:rPr>
          <w:fldChar w:fldCharType="end"/>
        </w:r>
      </w:hyperlink>
    </w:p>
    <w:p w14:paraId="5CA2A832" w14:textId="4F030260"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66" w:history="1">
        <w:r w:rsidRPr="000240AD">
          <w:rPr>
            <w:rStyle w:val="Hyperlink"/>
          </w:rPr>
          <w:t>2. Objective</w:t>
        </w:r>
        <w:r>
          <w:rPr>
            <w:webHidden/>
          </w:rPr>
          <w:tab/>
        </w:r>
        <w:r>
          <w:rPr>
            <w:webHidden/>
          </w:rPr>
          <w:fldChar w:fldCharType="begin"/>
        </w:r>
        <w:r>
          <w:rPr>
            <w:webHidden/>
          </w:rPr>
          <w:instrText xml:space="preserve"> PAGEREF _Toc205460166 \h </w:instrText>
        </w:r>
        <w:r>
          <w:rPr>
            <w:webHidden/>
          </w:rPr>
        </w:r>
        <w:r>
          <w:rPr>
            <w:webHidden/>
          </w:rPr>
          <w:fldChar w:fldCharType="separate"/>
        </w:r>
        <w:r w:rsidR="00B54CFB">
          <w:rPr>
            <w:webHidden/>
          </w:rPr>
          <w:t>3</w:t>
        </w:r>
        <w:r>
          <w:rPr>
            <w:webHidden/>
          </w:rPr>
          <w:fldChar w:fldCharType="end"/>
        </w:r>
      </w:hyperlink>
    </w:p>
    <w:p w14:paraId="671B779A" w14:textId="5EE33F7F"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67" w:history="1">
        <w:r w:rsidRPr="000240AD">
          <w:rPr>
            <w:rStyle w:val="Hyperlink"/>
          </w:rPr>
          <w:t>3. Principles</w:t>
        </w:r>
        <w:r>
          <w:rPr>
            <w:webHidden/>
          </w:rPr>
          <w:tab/>
        </w:r>
        <w:r>
          <w:rPr>
            <w:webHidden/>
          </w:rPr>
          <w:fldChar w:fldCharType="begin"/>
        </w:r>
        <w:r>
          <w:rPr>
            <w:webHidden/>
          </w:rPr>
          <w:instrText xml:space="preserve"> PAGEREF _Toc205460167 \h </w:instrText>
        </w:r>
        <w:r>
          <w:rPr>
            <w:webHidden/>
          </w:rPr>
        </w:r>
        <w:r>
          <w:rPr>
            <w:webHidden/>
          </w:rPr>
          <w:fldChar w:fldCharType="separate"/>
        </w:r>
        <w:r w:rsidR="00B54CFB">
          <w:rPr>
            <w:webHidden/>
          </w:rPr>
          <w:t>3</w:t>
        </w:r>
        <w:r>
          <w:rPr>
            <w:webHidden/>
          </w:rPr>
          <w:fldChar w:fldCharType="end"/>
        </w:r>
      </w:hyperlink>
    </w:p>
    <w:p w14:paraId="23C84F4D" w14:textId="5C45F9A5"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68" w:history="1">
        <w:r w:rsidRPr="000240AD">
          <w:rPr>
            <w:rStyle w:val="Hyperlink"/>
          </w:rPr>
          <w:t>4. Referral</w:t>
        </w:r>
        <w:r>
          <w:rPr>
            <w:webHidden/>
          </w:rPr>
          <w:tab/>
        </w:r>
        <w:r>
          <w:rPr>
            <w:webHidden/>
          </w:rPr>
          <w:fldChar w:fldCharType="begin"/>
        </w:r>
        <w:r>
          <w:rPr>
            <w:webHidden/>
          </w:rPr>
          <w:instrText xml:space="preserve"> PAGEREF _Toc205460168 \h </w:instrText>
        </w:r>
        <w:r>
          <w:rPr>
            <w:webHidden/>
          </w:rPr>
        </w:r>
        <w:r>
          <w:rPr>
            <w:webHidden/>
          </w:rPr>
          <w:fldChar w:fldCharType="separate"/>
        </w:r>
        <w:r w:rsidR="00B54CFB">
          <w:rPr>
            <w:webHidden/>
          </w:rPr>
          <w:t>4</w:t>
        </w:r>
        <w:r>
          <w:rPr>
            <w:webHidden/>
          </w:rPr>
          <w:fldChar w:fldCharType="end"/>
        </w:r>
      </w:hyperlink>
    </w:p>
    <w:p w14:paraId="5696F638" w14:textId="475B936F"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69" w:history="1">
        <w:r w:rsidRPr="000240AD">
          <w:rPr>
            <w:rStyle w:val="Hyperlink"/>
          </w:rPr>
          <w:t>5. Consen</w:t>
        </w:r>
        <w:r w:rsidRPr="000240AD">
          <w:rPr>
            <w:rStyle w:val="Hyperlink"/>
            <w:bCs/>
          </w:rPr>
          <w:t>t</w:t>
        </w:r>
        <w:r>
          <w:rPr>
            <w:webHidden/>
          </w:rPr>
          <w:tab/>
        </w:r>
        <w:r>
          <w:rPr>
            <w:webHidden/>
          </w:rPr>
          <w:fldChar w:fldCharType="begin"/>
        </w:r>
        <w:r>
          <w:rPr>
            <w:webHidden/>
          </w:rPr>
          <w:instrText xml:space="preserve"> PAGEREF _Toc205460169 \h </w:instrText>
        </w:r>
        <w:r>
          <w:rPr>
            <w:webHidden/>
          </w:rPr>
        </w:r>
        <w:r>
          <w:rPr>
            <w:webHidden/>
          </w:rPr>
          <w:fldChar w:fldCharType="separate"/>
        </w:r>
        <w:r w:rsidR="00B54CFB">
          <w:rPr>
            <w:webHidden/>
          </w:rPr>
          <w:t>4</w:t>
        </w:r>
        <w:r>
          <w:rPr>
            <w:webHidden/>
          </w:rPr>
          <w:fldChar w:fldCharType="end"/>
        </w:r>
      </w:hyperlink>
    </w:p>
    <w:p w14:paraId="7870937D" w14:textId="745ED703"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70" w:history="1">
        <w:r w:rsidRPr="000240AD">
          <w:rPr>
            <w:rStyle w:val="Hyperlink"/>
            <w:bCs/>
          </w:rPr>
          <w:t xml:space="preserve">6. Eligibility for </w:t>
        </w:r>
        <w:r w:rsidRPr="000240AD">
          <w:rPr>
            <w:rStyle w:val="Hyperlink"/>
          </w:rPr>
          <w:t>Forensic Disability Services</w:t>
        </w:r>
        <w:r>
          <w:rPr>
            <w:webHidden/>
          </w:rPr>
          <w:tab/>
        </w:r>
        <w:r>
          <w:rPr>
            <w:webHidden/>
          </w:rPr>
          <w:fldChar w:fldCharType="begin"/>
        </w:r>
        <w:r>
          <w:rPr>
            <w:webHidden/>
          </w:rPr>
          <w:instrText xml:space="preserve"> PAGEREF _Toc205460170 \h </w:instrText>
        </w:r>
        <w:r>
          <w:rPr>
            <w:webHidden/>
          </w:rPr>
        </w:r>
        <w:r>
          <w:rPr>
            <w:webHidden/>
          </w:rPr>
          <w:fldChar w:fldCharType="separate"/>
        </w:r>
        <w:r w:rsidR="00B54CFB">
          <w:rPr>
            <w:webHidden/>
          </w:rPr>
          <w:t>5</w:t>
        </w:r>
        <w:r>
          <w:rPr>
            <w:webHidden/>
          </w:rPr>
          <w:fldChar w:fldCharType="end"/>
        </w:r>
      </w:hyperlink>
    </w:p>
    <w:p w14:paraId="11D717C0" w14:textId="2205B3F9" w:rsidR="00BA4A24" w:rsidRDefault="00BA4A24">
      <w:pPr>
        <w:pStyle w:val="TOC4"/>
        <w:rPr>
          <w:rFonts w:asciiTheme="minorHAnsi" w:eastAsiaTheme="minorEastAsia" w:hAnsiTheme="minorHAnsi" w:cstheme="minorBidi"/>
          <w:noProof/>
          <w:kern w:val="2"/>
          <w:sz w:val="24"/>
          <w:szCs w:val="24"/>
          <w:lang w:eastAsia="en-AU"/>
          <w14:ligatures w14:val="standardContextual"/>
        </w:rPr>
      </w:pPr>
      <w:hyperlink w:anchor="_Toc205460171" w:history="1">
        <w:r w:rsidRPr="000240AD">
          <w:rPr>
            <w:rStyle w:val="Hyperlink"/>
            <w:noProof/>
          </w:rPr>
          <w:t>6.1.1 Intellectual Disability Criteria</w:t>
        </w:r>
        <w:r>
          <w:rPr>
            <w:noProof/>
            <w:webHidden/>
          </w:rPr>
          <w:tab/>
        </w:r>
        <w:r>
          <w:rPr>
            <w:noProof/>
            <w:webHidden/>
          </w:rPr>
          <w:fldChar w:fldCharType="begin"/>
        </w:r>
        <w:r>
          <w:rPr>
            <w:noProof/>
            <w:webHidden/>
          </w:rPr>
          <w:instrText xml:space="preserve"> PAGEREF _Toc205460171 \h </w:instrText>
        </w:r>
        <w:r>
          <w:rPr>
            <w:noProof/>
            <w:webHidden/>
          </w:rPr>
        </w:r>
        <w:r>
          <w:rPr>
            <w:noProof/>
            <w:webHidden/>
          </w:rPr>
          <w:fldChar w:fldCharType="separate"/>
        </w:r>
        <w:r w:rsidR="00B54CFB">
          <w:rPr>
            <w:noProof/>
            <w:webHidden/>
          </w:rPr>
          <w:t>6</w:t>
        </w:r>
        <w:r>
          <w:rPr>
            <w:noProof/>
            <w:webHidden/>
          </w:rPr>
          <w:fldChar w:fldCharType="end"/>
        </w:r>
      </w:hyperlink>
    </w:p>
    <w:p w14:paraId="03B6E59D" w14:textId="097CF4DA" w:rsidR="00BA4A24" w:rsidRDefault="00BA4A24">
      <w:pPr>
        <w:pStyle w:val="TOC4"/>
        <w:rPr>
          <w:rFonts w:asciiTheme="minorHAnsi" w:eastAsiaTheme="minorEastAsia" w:hAnsiTheme="minorHAnsi" w:cstheme="minorBidi"/>
          <w:noProof/>
          <w:kern w:val="2"/>
          <w:sz w:val="24"/>
          <w:szCs w:val="24"/>
          <w:lang w:eastAsia="en-AU"/>
          <w14:ligatures w14:val="standardContextual"/>
        </w:rPr>
      </w:pPr>
      <w:hyperlink w:anchor="_Toc205460172" w:history="1">
        <w:r w:rsidRPr="000240AD">
          <w:rPr>
            <w:rStyle w:val="Hyperlink"/>
            <w:noProof/>
          </w:rPr>
          <w:t>6.1.2 Acquired Brain Injury and Neurological Impairment Criteria</w:t>
        </w:r>
        <w:r>
          <w:rPr>
            <w:noProof/>
            <w:webHidden/>
          </w:rPr>
          <w:tab/>
        </w:r>
        <w:r>
          <w:rPr>
            <w:noProof/>
            <w:webHidden/>
          </w:rPr>
          <w:fldChar w:fldCharType="begin"/>
        </w:r>
        <w:r>
          <w:rPr>
            <w:noProof/>
            <w:webHidden/>
          </w:rPr>
          <w:instrText xml:space="preserve"> PAGEREF _Toc205460172 \h </w:instrText>
        </w:r>
        <w:r>
          <w:rPr>
            <w:noProof/>
            <w:webHidden/>
          </w:rPr>
        </w:r>
        <w:r>
          <w:rPr>
            <w:noProof/>
            <w:webHidden/>
          </w:rPr>
          <w:fldChar w:fldCharType="separate"/>
        </w:r>
        <w:r w:rsidR="00B54CFB">
          <w:rPr>
            <w:noProof/>
            <w:webHidden/>
          </w:rPr>
          <w:t>6</w:t>
        </w:r>
        <w:r>
          <w:rPr>
            <w:noProof/>
            <w:webHidden/>
          </w:rPr>
          <w:fldChar w:fldCharType="end"/>
        </w:r>
      </w:hyperlink>
    </w:p>
    <w:p w14:paraId="1A9368BE" w14:textId="453AADF0"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73" w:history="1">
        <w:r w:rsidRPr="000240AD">
          <w:rPr>
            <w:rStyle w:val="Hyperlink"/>
            <w:noProof/>
          </w:rPr>
          <w:t>6.2 Specific considerations when determining eligibility</w:t>
        </w:r>
        <w:r>
          <w:rPr>
            <w:noProof/>
            <w:webHidden/>
          </w:rPr>
          <w:tab/>
        </w:r>
        <w:r>
          <w:rPr>
            <w:noProof/>
            <w:webHidden/>
          </w:rPr>
          <w:fldChar w:fldCharType="begin"/>
        </w:r>
        <w:r>
          <w:rPr>
            <w:noProof/>
            <w:webHidden/>
          </w:rPr>
          <w:instrText xml:space="preserve"> PAGEREF _Toc205460173 \h </w:instrText>
        </w:r>
        <w:r>
          <w:rPr>
            <w:noProof/>
            <w:webHidden/>
          </w:rPr>
        </w:r>
        <w:r>
          <w:rPr>
            <w:noProof/>
            <w:webHidden/>
          </w:rPr>
          <w:fldChar w:fldCharType="separate"/>
        </w:r>
        <w:r w:rsidR="00B54CFB">
          <w:rPr>
            <w:noProof/>
            <w:webHidden/>
          </w:rPr>
          <w:t>7</w:t>
        </w:r>
        <w:r>
          <w:rPr>
            <w:noProof/>
            <w:webHidden/>
          </w:rPr>
          <w:fldChar w:fldCharType="end"/>
        </w:r>
      </w:hyperlink>
    </w:p>
    <w:p w14:paraId="2425F70C" w14:textId="176D50E9"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74" w:history="1">
        <w:r w:rsidRPr="000240AD">
          <w:rPr>
            <w:rStyle w:val="Hyperlink"/>
            <w:noProof/>
          </w:rPr>
          <w:t>6.3 Information gathering</w:t>
        </w:r>
        <w:r>
          <w:rPr>
            <w:noProof/>
            <w:webHidden/>
          </w:rPr>
          <w:tab/>
        </w:r>
        <w:r>
          <w:rPr>
            <w:noProof/>
            <w:webHidden/>
          </w:rPr>
          <w:fldChar w:fldCharType="begin"/>
        </w:r>
        <w:r>
          <w:rPr>
            <w:noProof/>
            <w:webHidden/>
          </w:rPr>
          <w:instrText xml:space="preserve"> PAGEREF _Toc205460174 \h </w:instrText>
        </w:r>
        <w:r>
          <w:rPr>
            <w:noProof/>
            <w:webHidden/>
          </w:rPr>
        </w:r>
        <w:r>
          <w:rPr>
            <w:noProof/>
            <w:webHidden/>
          </w:rPr>
          <w:fldChar w:fldCharType="separate"/>
        </w:r>
        <w:r w:rsidR="00B54CFB">
          <w:rPr>
            <w:noProof/>
            <w:webHidden/>
          </w:rPr>
          <w:t>7</w:t>
        </w:r>
        <w:r>
          <w:rPr>
            <w:noProof/>
            <w:webHidden/>
          </w:rPr>
          <w:fldChar w:fldCharType="end"/>
        </w:r>
      </w:hyperlink>
    </w:p>
    <w:p w14:paraId="5F835FC6" w14:textId="7BAC79DA"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75" w:history="1">
        <w:r w:rsidRPr="000240AD">
          <w:rPr>
            <w:rStyle w:val="Hyperlink"/>
            <w:noProof/>
          </w:rPr>
          <w:t>6.4 Outcomes of a request to Forensic Disability Services</w:t>
        </w:r>
        <w:r>
          <w:rPr>
            <w:noProof/>
            <w:webHidden/>
          </w:rPr>
          <w:tab/>
        </w:r>
        <w:r>
          <w:rPr>
            <w:noProof/>
            <w:webHidden/>
          </w:rPr>
          <w:fldChar w:fldCharType="begin"/>
        </w:r>
        <w:r>
          <w:rPr>
            <w:noProof/>
            <w:webHidden/>
          </w:rPr>
          <w:instrText xml:space="preserve"> PAGEREF _Toc205460175 \h </w:instrText>
        </w:r>
        <w:r>
          <w:rPr>
            <w:noProof/>
            <w:webHidden/>
          </w:rPr>
        </w:r>
        <w:r>
          <w:rPr>
            <w:noProof/>
            <w:webHidden/>
          </w:rPr>
          <w:fldChar w:fldCharType="separate"/>
        </w:r>
        <w:r w:rsidR="00B54CFB">
          <w:rPr>
            <w:noProof/>
            <w:webHidden/>
          </w:rPr>
          <w:t>7</w:t>
        </w:r>
        <w:r>
          <w:rPr>
            <w:noProof/>
            <w:webHidden/>
          </w:rPr>
          <w:fldChar w:fldCharType="end"/>
        </w:r>
      </w:hyperlink>
    </w:p>
    <w:p w14:paraId="4DFE15A8" w14:textId="6D597E1E" w:rsidR="00BA4A24" w:rsidRDefault="00BA4A24">
      <w:pPr>
        <w:pStyle w:val="TOC4"/>
        <w:rPr>
          <w:rFonts w:asciiTheme="minorHAnsi" w:eastAsiaTheme="minorEastAsia" w:hAnsiTheme="minorHAnsi" w:cstheme="minorBidi"/>
          <w:noProof/>
          <w:kern w:val="2"/>
          <w:sz w:val="24"/>
          <w:szCs w:val="24"/>
          <w:lang w:eastAsia="en-AU"/>
          <w14:ligatures w14:val="standardContextual"/>
        </w:rPr>
      </w:pPr>
      <w:hyperlink w:anchor="_Toc205460176" w:history="1">
        <w:r w:rsidRPr="000240AD">
          <w:rPr>
            <w:rStyle w:val="Hyperlink"/>
            <w:noProof/>
          </w:rPr>
          <w:t>(a) Accept the request</w:t>
        </w:r>
        <w:r>
          <w:rPr>
            <w:noProof/>
            <w:webHidden/>
          </w:rPr>
          <w:tab/>
        </w:r>
        <w:r>
          <w:rPr>
            <w:noProof/>
            <w:webHidden/>
          </w:rPr>
          <w:fldChar w:fldCharType="begin"/>
        </w:r>
        <w:r>
          <w:rPr>
            <w:noProof/>
            <w:webHidden/>
          </w:rPr>
          <w:instrText xml:space="preserve"> PAGEREF _Toc205460176 \h </w:instrText>
        </w:r>
        <w:r>
          <w:rPr>
            <w:noProof/>
            <w:webHidden/>
          </w:rPr>
        </w:r>
        <w:r>
          <w:rPr>
            <w:noProof/>
            <w:webHidden/>
          </w:rPr>
          <w:fldChar w:fldCharType="separate"/>
        </w:r>
        <w:r w:rsidR="00B54CFB">
          <w:rPr>
            <w:noProof/>
            <w:webHidden/>
          </w:rPr>
          <w:t>7</w:t>
        </w:r>
        <w:r>
          <w:rPr>
            <w:noProof/>
            <w:webHidden/>
          </w:rPr>
          <w:fldChar w:fldCharType="end"/>
        </w:r>
      </w:hyperlink>
    </w:p>
    <w:p w14:paraId="2791A8FF" w14:textId="70029672" w:rsidR="00BA4A24" w:rsidRDefault="00BA4A24">
      <w:pPr>
        <w:pStyle w:val="TOC4"/>
        <w:rPr>
          <w:rFonts w:asciiTheme="minorHAnsi" w:eastAsiaTheme="minorEastAsia" w:hAnsiTheme="minorHAnsi" w:cstheme="minorBidi"/>
          <w:noProof/>
          <w:kern w:val="2"/>
          <w:sz w:val="24"/>
          <w:szCs w:val="24"/>
          <w:lang w:eastAsia="en-AU"/>
          <w14:ligatures w14:val="standardContextual"/>
        </w:rPr>
      </w:pPr>
      <w:hyperlink w:anchor="_Toc205460177" w:history="1">
        <w:r w:rsidRPr="000240AD">
          <w:rPr>
            <w:rStyle w:val="Hyperlink"/>
            <w:noProof/>
          </w:rPr>
          <w:t>(b) Refuse the request</w:t>
        </w:r>
        <w:r>
          <w:rPr>
            <w:noProof/>
            <w:webHidden/>
          </w:rPr>
          <w:tab/>
        </w:r>
        <w:r>
          <w:rPr>
            <w:noProof/>
            <w:webHidden/>
          </w:rPr>
          <w:fldChar w:fldCharType="begin"/>
        </w:r>
        <w:r>
          <w:rPr>
            <w:noProof/>
            <w:webHidden/>
          </w:rPr>
          <w:instrText xml:space="preserve"> PAGEREF _Toc205460177 \h </w:instrText>
        </w:r>
        <w:r>
          <w:rPr>
            <w:noProof/>
            <w:webHidden/>
          </w:rPr>
        </w:r>
        <w:r>
          <w:rPr>
            <w:noProof/>
            <w:webHidden/>
          </w:rPr>
          <w:fldChar w:fldCharType="separate"/>
        </w:r>
        <w:r w:rsidR="00B54CFB">
          <w:rPr>
            <w:noProof/>
            <w:webHidden/>
          </w:rPr>
          <w:t>8</w:t>
        </w:r>
        <w:r>
          <w:rPr>
            <w:noProof/>
            <w:webHidden/>
          </w:rPr>
          <w:fldChar w:fldCharType="end"/>
        </w:r>
      </w:hyperlink>
    </w:p>
    <w:p w14:paraId="1A0D05BF" w14:textId="38487272"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78" w:history="1">
        <w:r w:rsidRPr="000240AD">
          <w:rPr>
            <w:rStyle w:val="Hyperlink"/>
            <w:noProof/>
          </w:rPr>
          <w:t>6.5 Requesting a review of target group decision</w:t>
        </w:r>
        <w:r>
          <w:rPr>
            <w:noProof/>
            <w:webHidden/>
          </w:rPr>
          <w:tab/>
        </w:r>
        <w:r>
          <w:rPr>
            <w:noProof/>
            <w:webHidden/>
          </w:rPr>
          <w:fldChar w:fldCharType="begin"/>
        </w:r>
        <w:r>
          <w:rPr>
            <w:noProof/>
            <w:webHidden/>
          </w:rPr>
          <w:instrText xml:space="preserve"> PAGEREF _Toc205460178 \h </w:instrText>
        </w:r>
        <w:r>
          <w:rPr>
            <w:noProof/>
            <w:webHidden/>
          </w:rPr>
        </w:r>
        <w:r>
          <w:rPr>
            <w:noProof/>
            <w:webHidden/>
          </w:rPr>
          <w:fldChar w:fldCharType="separate"/>
        </w:r>
        <w:r w:rsidR="00B54CFB">
          <w:rPr>
            <w:noProof/>
            <w:webHidden/>
          </w:rPr>
          <w:t>8</w:t>
        </w:r>
        <w:r>
          <w:rPr>
            <w:noProof/>
            <w:webHidden/>
          </w:rPr>
          <w:fldChar w:fldCharType="end"/>
        </w:r>
      </w:hyperlink>
    </w:p>
    <w:p w14:paraId="00A23254" w14:textId="5C5B82A4"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79" w:history="1">
        <w:r w:rsidRPr="000240AD">
          <w:rPr>
            <w:rStyle w:val="Hyperlink"/>
            <w:noProof/>
          </w:rPr>
          <w:t>6.6 Statement of Intellectual Disability</w:t>
        </w:r>
        <w:r>
          <w:rPr>
            <w:noProof/>
            <w:webHidden/>
          </w:rPr>
          <w:tab/>
        </w:r>
        <w:r>
          <w:rPr>
            <w:noProof/>
            <w:webHidden/>
          </w:rPr>
          <w:fldChar w:fldCharType="begin"/>
        </w:r>
        <w:r>
          <w:rPr>
            <w:noProof/>
            <w:webHidden/>
          </w:rPr>
          <w:instrText xml:space="preserve"> PAGEREF _Toc205460179 \h </w:instrText>
        </w:r>
        <w:r>
          <w:rPr>
            <w:noProof/>
            <w:webHidden/>
          </w:rPr>
        </w:r>
        <w:r>
          <w:rPr>
            <w:noProof/>
            <w:webHidden/>
          </w:rPr>
          <w:fldChar w:fldCharType="separate"/>
        </w:r>
        <w:r w:rsidR="00B54CFB">
          <w:rPr>
            <w:noProof/>
            <w:webHidden/>
          </w:rPr>
          <w:t>8</w:t>
        </w:r>
        <w:r>
          <w:rPr>
            <w:noProof/>
            <w:webHidden/>
          </w:rPr>
          <w:fldChar w:fldCharType="end"/>
        </w:r>
      </w:hyperlink>
    </w:p>
    <w:p w14:paraId="69716DFF" w14:textId="5A0B8894"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80" w:history="1">
        <w:r w:rsidRPr="000240AD">
          <w:rPr>
            <w:rStyle w:val="Hyperlink"/>
          </w:rPr>
          <w:t>7. Access to Forensic Disability Services</w:t>
        </w:r>
        <w:r>
          <w:rPr>
            <w:webHidden/>
          </w:rPr>
          <w:tab/>
        </w:r>
        <w:r>
          <w:rPr>
            <w:webHidden/>
          </w:rPr>
          <w:fldChar w:fldCharType="begin"/>
        </w:r>
        <w:r>
          <w:rPr>
            <w:webHidden/>
          </w:rPr>
          <w:instrText xml:space="preserve"> PAGEREF _Toc205460180 \h </w:instrText>
        </w:r>
        <w:r>
          <w:rPr>
            <w:webHidden/>
          </w:rPr>
        </w:r>
        <w:r>
          <w:rPr>
            <w:webHidden/>
          </w:rPr>
          <w:fldChar w:fldCharType="separate"/>
        </w:r>
        <w:r w:rsidR="00B54CFB">
          <w:rPr>
            <w:webHidden/>
          </w:rPr>
          <w:t>8</w:t>
        </w:r>
        <w:r>
          <w:rPr>
            <w:webHidden/>
          </w:rPr>
          <w:fldChar w:fldCharType="end"/>
        </w:r>
      </w:hyperlink>
    </w:p>
    <w:p w14:paraId="3F95B34B" w14:textId="7CA311E2"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81" w:history="1">
        <w:r w:rsidRPr="000240AD">
          <w:rPr>
            <w:rStyle w:val="Hyperlink"/>
          </w:rPr>
          <w:t>8.Program Specific Priority Indicators</w:t>
        </w:r>
        <w:r>
          <w:rPr>
            <w:webHidden/>
          </w:rPr>
          <w:tab/>
        </w:r>
        <w:r>
          <w:rPr>
            <w:webHidden/>
          </w:rPr>
          <w:fldChar w:fldCharType="begin"/>
        </w:r>
        <w:r>
          <w:rPr>
            <w:webHidden/>
          </w:rPr>
          <w:instrText xml:space="preserve"> PAGEREF _Toc205460181 \h </w:instrText>
        </w:r>
        <w:r>
          <w:rPr>
            <w:webHidden/>
          </w:rPr>
        </w:r>
        <w:r>
          <w:rPr>
            <w:webHidden/>
          </w:rPr>
          <w:fldChar w:fldCharType="separate"/>
        </w:r>
        <w:r w:rsidR="00B54CFB">
          <w:rPr>
            <w:webHidden/>
          </w:rPr>
          <w:t>9</w:t>
        </w:r>
        <w:r>
          <w:rPr>
            <w:webHidden/>
          </w:rPr>
          <w:fldChar w:fldCharType="end"/>
        </w:r>
      </w:hyperlink>
    </w:p>
    <w:p w14:paraId="6D0C1983" w14:textId="5E8257B5"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82" w:history="1">
        <w:r w:rsidRPr="000240AD">
          <w:rPr>
            <w:rStyle w:val="Hyperlink"/>
            <w:noProof/>
          </w:rPr>
          <w:t>8.1 Priority Indicators for Disability Justice Coordination</w:t>
        </w:r>
        <w:r>
          <w:rPr>
            <w:noProof/>
            <w:webHidden/>
          </w:rPr>
          <w:tab/>
        </w:r>
        <w:r>
          <w:rPr>
            <w:noProof/>
            <w:webHidden/>
          </w:rPr>
          <w:fldChar w:fldCharType="begin"/>
        </w:r>
        <w:r>
          <w:rPr>
            <w:noProof/>
            <w:webHidden/>
          </w:rPr>
          <w:instrText xml:space="preserve"> PAGEREF _Toc205460182 \h </w:instrText>
        </w:r>
        <w:r>
          <w:rPr>
            <w:noProof/>
            <w:webHidden/>
          </w:rPr>
        </w:r>
        <w:r>
          <w:rPr>
            <w:noProof/>
            <w:webHidden/>
          </w:rPr>
          <w:fldChar w:fldCharType="separate"/>
        </w:r>
        <w:r w:rsidR="00B54CFB">
          <w:rPr>
            <w:noProof/>
            <w:webHidden/>
          </w:rPr>
          <w:t>10</w:t>
        </w:r>
        <w:r>
          <w:rPr>
            <w:noProof/>
            <w:webHidden/>
          </w:rPr>
          <w:fldChar w:fldCharType="end"/>
        </w:r>
      </w:hyperlink>
    </w:p>
    <w:p w14:paraId="043BAB8F" w14:textId="4CA09F6B"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83" w:history="1">
        <w:r w:rsidRPr="000240AD">
          <w:rPr>
            <w:rStyle w:val="Hyperlink"/>
            <w:noProof/>
          </w:rPr>
          <w:t>8.2 Priority Indicators for Forensic Disability Clinical Services</w:t>
        </w:r>
        <w:r>
          <w:rPr>
            <w:noProof/>
            <w:webHidden/>
          </w:rPr>
          <w:tab/>
        </w:r>
        <w:r>
          <w:rPr>
            <w:noProof/>
            <w:webHidden/>
          </w:rPr>
          <w:fldChar w:fldCharType="begin"/>
        </w:r>
        <w:r>
          <w:rPr>
            <w:noProof/>
            <w:webHidden/>
          </w:rPr>
          <w:instrText xml:space="preserve"> PAGEREF _Toc205460183 \h </w:instrText>
        </w:r>
        <w:r>
          <w:rPr>
            <w:noProof/>
            <w:webHidden/>
          </w:rPr>
        </w:r>
        <w:r>
          <w:rPr>
            <w:noProof/>
            <w:webHidden/>
          </w:rPr>
          <w:fldChar w:fldCharType="separate"/>
        </w:r>
        <w:r w:rsidR="00B54CFB">
          <w:rPr>
            <w:noProof/>
            <w:webHidden/>
          </w:rPr>
          <w:t>10</w:t>
        </w:r>
        <w:r>
          <w:rPr>
            <w:noProof/>
            <w:webHidden/>
          </w:rPr>
          <w:fldChar w:fldCharType="end"/>
        </w:r>
      </w:hyperlink>
    </w:p>
    <w:p w14:paraId="00312EE5" w14:textId="5A1F97EF"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84" w:history="1">
        <w:r w:rsidRPr="000240AD">
          <w:rPr>
            <w:rStyle w:val="Hyperlink"/>
            <w:noProof/>
          </w:rPr>
          <w:t>8.3 Priority Indicators for Specialist Forensic Disability Accommodation</w:t>
        </w:r>
        <w:r>
          <w:rPr>
            <w:noProof/>
            <w:webHidden/>
          </w:rPr>
          <w:tab/>
        </w:r>
        <w:r>
          <w:rPr>
            <w:noProof/>
            <w:webHidden/>
          </w:rPr>
          <w:fldChar w:fldCharType="begin"/>
        </w:r>
        <w:r>
          <w:rPr>
            <w:noProof/>
            <w:webHidden/>
          </w:rPr>
          <w:instrText xml:space="preserve"> PAGEREF _Toc205460184 \h </w:instrText>
        </w:r>
        <w:r>
          <w:rPr>
            <w:noProof/>
            <w:webHidden/>
          </w:rPr>
        </w:r>
        <w:r>
          <w:rPr>
            <w:noProof/>
            <w:webHidden/>
          </w:rPr>
          <w:fldChar w:fldCharType="separate"/>
        </w:r>
        <w:r w:rsidR="00B54CFB">
          <w:rPr>
            <w:noProof/>
            <w:webHidden/>
          </w:rPr>
          <w:t>10</w:t>
        </w:r>
        <w:r>
          <w:rPr>
            <w:noProof/>
            <w:webHidden/>
          </w:rPr>
          <w:fldChar w:fldCharType="end"/>
        </w:r>
      </w:hyperlink>
    </w:p>
    <w:p w14:paraId="79E0C587" w14:textId="078AE591"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85" w:history="1">
        <w:r w:rsidRPr="000240AD">
          <w:rPr>
            <w:rStyle w:val="Hyperlink"/>
            <w:noProof/>
          </w:rPr>
          <w:t>8.4 Priority Indicators for a Residential Treatment Facility (RTF)</w:t>
        </w:r>
        <w:r>
          <w:rPr>
            <w:noProof/>
            <w:webHidden/>
          </w:rPr>
          <w:tab/>
        </w:r>
        <w:r>
          <w:rPr>
            <w:noProof/>
            <w:webHidden/>
          </w:rPr>
          <w:fldChar w:fldCharType="begin"/>
        </w:r>
        <w:r>
          <w:rPr>
            <w:noProof/>
            <w:webHidden/>
          </w:rPr>
          <w:instrText xml:space="preserve"> PAGEREF _Toc205460185 \h </w:instrText>
        </w:r>
        <w:r>
          <w:rPr>
            <w:noProof/>
            <w:webHidden/>
          </w:rPr>
        </w:r>
        <w:r>
          <w:rPr>
            <w:noProof/>
            <w:webHidden/>
          </w:rPr>
          <w:fldChar w:fldCharType="separate"/>
        </w:r>
        <w:r w:rsidR="00B54CFB">
          <w:rPr>
            <w:noProof/>
            <w:webHidden/>
          </w:rPr>
          <w:t>11</w:t>
        </w:r>
        <w:r>
          <w:rPr>
            <w:noProof/>
            <w:webHidden/>
          </w:rPr>
          <w:fldChar w:fldCharType="end"/>
        </w:r>
      </w:hyperlink>
    </w:p>
    <w:p w14:paraId="3F06D10B" w14:textId="020FA6DA"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86" w:history="1">
        <w:r w:rsidRPr="000240AD">
          <w:rPr>
            <w:rStyle w:val="Hyperlink"/>
          </w:rPr>
          <w:t>9. Demand Management</w:t>
        </w:r>
        <w:r>
          <w:rPr>
            <w:webHidden/>
          </w:rPr>
          <w:tab/>
        </w:r>
        <w:r>
          <w:rPr>
            <w:webHidden/>
          </w:rPr>
          <w:fldChar w:fldCharType="begin"/>
        </w:r>
        <w:r>
          <w:rPr>
            <w:webHidden/>
          </w:rPr>
          <w:instrText xml:space="preserve"> PAGEREF _Toc205460186 \h </w:instrText>
        </w:r>
        <w:r>
          <w:rPr>
            <w:webHidden/>
          </w:rPr>
        </w:r>
        <w:r>
          <w:rPr>
            <w:webHidden/>
          </w:rPr>
          <w:fldChar w:fldCharType="separate"/>
        </w:r>
        <w:r w:rsidR="00B54CFB">
          <w:rPr>
            <w:webHidden/>
          </w:rPr>
          <w:t>12</w:t>
        </w:r>
        <w:r>
          <w:rPr>
            <w:webHidden/>
          </w:rPr>
          <w:fldChar w:fldCharType="end"/>
        </w:r>
      </w:hyperlink>
    </w:p>
    <w:p w14:paraId="038E64BF" w14:textId="45B35E22"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87" w:history="1">
        <w:r w:rsidRPr="000240AD">
          <w:rPr>
            <w:rStyle w:val="Hyperlink"/>
          </w:rPr>
          <w:t>10. Register of Need</w:t>
        </w:r>
        <w:r>
          <w:rPr>
            <w:webHidden/>
          </w:rPr>
          <w:tab/>
        </w:r>
        <w:r>
          <w:rPr>
            <w:webHidden/>
          </w:rPr>
          <w:fldChar w:fldCharType="begin"/>
        </w:r>
        <w:r>
          <w:rPr>
            <w:webHidden/>
          </w:rPr>
          <w:instrText xml:space="preserve"> PAGEREF _Toc205460187 \h </w:instrText>
        </w:r>
        <w:r>
          <w:rPr>
            <w:webHidden/>
          </w:rPr>
        </w:r>
        <w:r>
          <w:rPr>
            <w:webHidden/>
          </w:rPr>
          <w:fldChar w:fldCharType="separate"/>
        </w:r>
        <w:r w:rsidR="00B54CFB">
          <w:rPr>
            <w:webHidden/>
          </w:rPr>
          <w:t>12</w:t>
        </w:r>
        <w:r>
          <w:rPr>
            <w:webHidden/>
          </w:rPr>
          <w:fldChar w:fldCharType="end"/>
        </w:r>
      </w:hyperlink>
    </w:p>
    <w:p w14:paraId="08BBAD63" w14:textId="2D5EADF1" w:rsidR="00BA4A24" w:rsidRDefault="00BA4A24">
      <w:pPr>
        <w:pStyle w:val="TOC2"/>
        <w:rPr>
          <w:rFonts w:asciiTheme="minorHAnsi" w:eastAsiaTheme="minorEastAsia" w:hAnsiTheme="minorHAnsi" w:cstheme="minorBidi"/>
          <w:kern w:val="2"/>
          <w:sz w:val="24"/>
          <w:szCs w:val="24"/>
          <w:lang w:eastAsia="en-AU"/>
          <w14:ligatures w14:val="standardContextual"/>
        </w:rPr>
      </w:pPr>
      <w:hyperlink w:anchor="_Toc205460188" w:history="1">
        <w:r w:rsidRPr="000240AD">
          <w:rPr>
            <w:rStyle w:val="Hyperlink"/>
          </w:rPr>
          <w:t>11. Vacancy Management</w:t>
        </w:r>
        <w:r>
          <w:rPr>
            <w:webHidden/>
          </w:rPr>
          <w:tab/>
        </w:r>
        <w:r>
          <w:rPr>
            <w:webHidden/>
          </w:rPr>
          <w:fldChar w:fldCharType="begin"/>
        </w:r>
        <w:r>
          <w:rPr>
            <w:webHidden/>
          </w:rPr>
          <w:instrText xml:space="preserve"> PAGEREF _Toc205460188 \h </w:instrText>
        </w:r>
        <w:r>
          <w:rPr>
            <w:webHidden/>
          </w:rPr>
        </w:r>
        <w:r>
          <w:rPr>
            <w:webHidden/>
          </w:rPr>
          <w:fldChar w:fldCharType="separate"/>
        </w:r>
        <w:r w:rsidR="00B54CFB">
          <w:rPr>
            <w:webHidden/>
          </w:rPr>
          <w:t>13</w:t>
        </w:r>
        <w:r>
          <w:rPr>
            <w:webHidden/>
          </w:rPr>
          <w:fldChar w:fldCharType="end"/>
        </w:r>
      </w:hyperlink>
    </w:p>
    <w:p w14:paraId="22F752B5" w14:textId="2285490A" w:rsidR="00BA4A24" w:rsidRDefault="00BA4A24">
      <w:pPr>
        <w:pStyle w:val="TOC3"/>
        <w:rPr>
          <w:rFonts w:asciiTheme="minorHAnsi" w:eastAsiaTheme="minorEastAsia" w:hAnsiTheme="minorHAnsi" w:cstheme="minorBidi"/>
          <w:noProof/>
          <w:kern w:val="2"/>
          <w:sz w:val="24"/>
          <w:szCs w:val="24"/>
          <w:lang w:eastAsia="en-AU"/>
          <w14:ligatures w14:val="standardContextual"/>
        </w:rPr>
      </w:pPr>
      <w:hyperlink w:anchor="_Toc205460189" w:history="1">
        <w:r w:rsidRPr="000240AD">
          <w:rPr>
            <w:rStyle w:val="Hyperlink"/>
            <w:rFonts w:eastAsia="MS Gothic"/>
            <w:bCs/>
            <w:noProof/>
          </w:rPr>
          <w:t>Version control and authorisation</w:t>
        </w:r>
        <w:r>
          <w:rPr>
            <w:noProof/>
            <w:webHidden/>
          </w:rPr>
          <w:tab/>
        </w:r>
        <w:r>
          <w:rPr>
            <w:noProof/>
            <w:webHidden/>
          </w:rPr>
          <w:fldChar w:fldCharType="begin"/>
        </w:r>
        <w:r>
          <w:rPr>
            <w:noProof/>
            <w:webHidden/>
          </w:rPr>
          <w:instrText xml:space="preserve"> PAGEREF _Toc205460189 \h </w:instrText>
        </w:r>
        <w:r>
          <w:rPr>
            <w:noProof/>
            <w:webHidden/>
          </w:rPr>
        </w:r>
        <w:r>
          <w:rPr>
            <w:noProof/>
            <w:webHidden/>
          </w:rPr>
          <w:fldChar w:fldCharType="separate"/>
        </w:r>
        <w:r w:rsidR="00B54CFB">
          <w:rPr>
            <w:noProof/>
            <w:webHidden/>
          </w:rPr>
          <w:t>14</w:t>
        </w:r>
        <w:r>
          <w:rPr>
            <w:noProof/>
            <w:webHidden/>
          </w:rPr>
          <w:fldChar w:fldCharType="end"/>
        </w:r>
      </w:hyperlink>
    </w:p>
    <w:p w14:paraId="0C9BCC63" w14:textId="778E9326" w:rsidR="00CF3333" w:rsidRDefault="003B53B6" w:rsidP="003B53B6">
      <w:pPr>
        <w:pStyle w:val="Heading2"/>
        <w:ind w:right="707"/>
        <w:rPr>
          <w:szCs w:val="21"/>
        </w:rPr>
      </w:pPr>
      <w:r>
        <w:rPr>
          <w:szCs w:val="21"/>
        </w:rPr>
        <w:fldChar w:fldCharType="end"/>
      </w:r>
    </w:p>
    <w:p w14:paraId="29C878B5" w14:textId="77777777" w:rsidR="00CF3333" w:rsidRDefault="00CF3333">
      <w:pPr>
        <w:spacing w:after="0" w:line="240" w:lineRule="auto"/>
        <w:rPr>
          <w:b/>
          <w:color w:val="201547"/>
          <w:sz w:val="32"/>
          <w:szCs w:val="21"/>
        </w:rPr>
      </w:pPr>
      <w:r>
        <w:rPr>
          <w:szCs w:val="21"/>
        </w:rPr>
        <w:br w:type="page"/>
      </w:r>
    </w:p>
    <w:p w14:paraId="40F90231" w14:textId="4FFCA165" w:rsidR="00E81C5C" w:rsidRPr="00E62B12" w:rsidRDefault="00E81C5C" w:rsidP="003B53B6">
      <w:pPr>
        <w:pStyle w:val="Heading2"/>
        <w:ind w:right="707"/>
        <w:rPr>
          <w:color w:val="0F243E" w:themeColor="text2" w:themeShade="80"/>
        </w:rPr>
      </w:pPr>
      <w:bookmarkStart w:id="0" w:name="_Toc205460165"/>
      <w:r w:rsidRPr="00E62B12">
        <w:rPr>
          <w:color w:val="0F243E" w:themeColor="text2" w:themeShade="80"/>
        </w:rPr>
        <w:lastRenderedPageBreak/>
        <w:t xml:space="preserve">1. Context </w:t>
      </w:r>
      <w:r>
        <w:rPr>
          <w:color w:val="0F243E" w:themeColor="text2" w:themeShade="80"/>
        </w:rPr>
        <w:t>and Scope</w:t>
      </w:r>
      <w:bookmarkEnd w:id="0"/>
      <w:r>
        <w:rPr>
          <w:color w:val="0F243E" w:themeColor="text2" w:themeShade="80"/>
        </w:rPr>
        <w:t xml:space="preserve">  </w:t>
      </w:r>
    </w:p>
    <w:p w14:paraId="2BD5E100" w14:textId="77777777" w:rsidR="00E81C5C" w:rsidRDefault="00E81C5C" w:rsidP="00E81C5C">
      <w:pPr>
        <w:pStyle w:val="Body"/>
        <w:spacing w:before="120"/>
        <w:jc w:val="both"/>
        <w:rPr>
          <w:rStyle w:val="cf01"/>
          <w:rFonts w:ascii="Arial" w:hAnsi="Arial" w:cs="Arial"/>
          <w:sz w:val="21"/>
          <w:szCs w:val="21"/>
        </w:rPr>
      </w:pPr>
      <w:r>
        <w:t xml:space="preserve">The </w:t>
      </w:r>
      <w:r w:rsidRPr="1B793EB4">
        <w:rPr>
          <w:i/>
        </w:rPr>
        <w:t xml:space="preserve">Disability Act 2006 </w:t>
      </w:r>
      <w:r>
        <w:t>(the Act) aims to promote inclusion and active participation of people with disability in their communities and is guided by the principles of human rights.</w:t>
      </w:r>
      <w:r w:rsidRPr="003336B3">
        <w:rPr>
          <w:rStyle w:val="cf01"/>
          <w:rFonts w:ascii="Arial" w:hAnsi="Arial" w:cs="Arial"/>
          <w:sz w:val="21"/>
          <w:szCs w:val="21"/>
        </w:rPr>
        <w:t xml:space="preserve"> </w:t>
      </w:r>
      <w:r>
        <w:rPr>
          <w:rStyle w:val="cf01"/>
          <w:rFonts w:ascii="Arial" w:hAnsi="Arial" w:cs="Arial"/>
          <w:sz w:val="21"/>
          <w:szCs w:val="21"/>
        </w:rPr>
        <w:t>The Act also outlines the legislative requirements for accessing disability services funded and delivered by the Department of Families, Fairness and Housing (herein after referred to as the Department</w:t>
      </w:r>
      <w:r w:rsidRPr="1B793EB4">
        <w:rPr>
          <w:rStyle w:val="cf01"/>
          <w:rFonts w:ascii="Arial" w:hAnsi="Arial" w:cs="Arial"/>
          <w:sz w:val="21"/>
          <w:szCs w:val="21"/>
        </w:rPr>
        <w:t>).</w:t>
      </w:r>
    </w:p>
    <w:p w14:paraId="4725969D" w14:textId="77777777" w:rsidR="00E81C5C" w:rsidRDefault="00E81C5C" w:rsidP="00E81C5C">
      <w:pPr>
        <w:pStyle w:val="Body"/>
        <w:spacing w:before="120"/>
        <w:jc w:val="both"/>
      </w:pPr>
      <w:r>
        <w:t>The National Disability Insurance Scheme (NDIS) funds disability services and supports for eligible participants; however, there are circumstances where the Victorian Government is responsible for funding and delivering programs and services for people with a disability. The Department funded programs and services include support for people with a cognitive impairment who require specialist forensic support and treatment via forensic disability services.</w:t>
      </w:r>
    </w:p>
    <w:p w14:paraId="080FE82B" w14:textId="77777777" w:rsidR="00E81C5C" w:rsidRPr="002C3AB2" w:rsidRDefault="00E81C5C" w:rsidP="00E81C5C">
      <w:pPr>
        <w:pStyle w:val="Body"/>
        <w:spacing w:before="120"/>
        <w:jc w:val="both"/>
      </w:pPr>
      <w:r w:rsidRPr="008375BB">
        <w:t>The scope of this policy applies to all Forensic Disability Services (FDS) which is an umbrella term that encompasses services delivered and funded by the Department.</w:t>
      </w:r>
      <w:r w:rsidRPr="002C3AB2">
        <w:t xml:space="preserve"> </w:t>
      </w:r>
      <w:r>
        <w:t xml:space="preserve">Therefore, this policy applies to those accessing FDS services via government delivered services as well as external agencies that are funded by the Department. </w:t>
      </w:r>
    </w:p>
    <w:p w14:paraId="654A7902" w14:textId="77777777" w:rsidR="00E81C5C" w:rsidRPr="00E62B12" w:rsidRDefault="00E81C5C" w:rsidP="00E81C5C">
      <w:pPr>
        <w:pStyle w:val="Heading2"/>
        <w:rPr>
          <w:color w:val="0F243E" w:themeColor="text2" w:themeShade="80"/>
        </w:rPr>
      </w:pPr>
      <w:bookmarkStart w:id="1" w:name="_Toc205460166"/>
      <w:r w:rsidRPr="00E62B12">
        <w:rPr>
          <w:color w:val="0F243E" w:themeColor="text2" w:themeShade="80"/>
        </w:rPr>
        <w:t>2. Objective</w:t>
      </w:r>
      <w:bookmarkEnd w:id="1"/>
      <w:r w:rsidRPr="00E62B12">
        <w:rPr>
          <w:color w:val="0F243E" w:themeColor="text2" w:themeShade="80"/>
        </w:rPr>
        <w:t xml:space="preserve"> </w:t>
      </w:r>
    </w:p>
    <w:p w14:paraId="75113530" w14:textId="77777777" w:rsidR="00E81C5C" w:rsidRPr="0027608F" w:rsidRDefault="00E81C5C" w:rsidP="00E81C5C">
      <w:pPr>
        <w:pStyle w:val="Body"/>
        <w:spacing w:before="120"/>
        <w:jc w:val="both"/>
      </w:pPr>
      <w:r>
        <w:t xml:space="preserve">The objective of the Forensic Disability Services Access Policy (the policy) is to: </w:t>
      </w:r>
    </w:p>
    <w:p w14:paraId="30326F1F" w14:textId="77777777" w:rsidR="00E81C5C" w:rsidRPr="0027608F" w:rsidRDefault="00E81C5C" w:rsidP="00E81C5C">
      <w:pPr>
        <w:pStyle w:val="BulletPointList"/>
      </w:pPr>
      <w:r w:rsidRPr="0027608F">
        <w:t xml:space="preserve">provide a consistent process for access to </w:t>
      </w:r>
      <w:r>
        <w:t>forensic disability</w:t>
      </w:r>
      <w:r w:rsidRPr="0027608F">
        <w:t xml:space="preserve"> services, and criteria for determining eligibility and suitability of referrals.</w:t>
      </w:r>
    </w:p>
    <w:p w14:paraId="19DDB555" w14:textId="77777777" w:rsidR="00E81C5C" w:rsidRDefault="00E81C5C" w:rsidP="00E81C5C">
      <w:pPr>
        <w:pStyle w:val="BulletPointList"/>
      </w:pPr>
      <w:r>
        <w:t>provide an overview of the definition of disability as outlined in the Act and explain the process for undergoing a target group assessment to determine eligibility for forensic disability services.</w:t>
      </w:r>
    </w:p>
    <w:p w14:paraId="698232C7" w14:textId="77777777" w:rsidR="00E81C5C" w:rsidRPr="00227F0F" w:rsidRDefault="00E81C5C" w:rsidP="00E81C5C">
      <w:pPr>
        <w:pStyle w:val="BulletPointList"/>
      </w:pPr>
      <w:r>
        <w:t>provide people with disability and their support networks with information about how people may access forensic disability services.</w:t>
      </w:r>
    </w:p>
    <w:p w14:paraId="42E2DF46" w14:textId="77777777" w:rsidR="00E81C5C" w:rsidRDefault="00E81C5C" w:rsidP="00E81C5C">
      <w:pPr>
        <w:pStyle w:val="BulletPointList"/>
      </w:pPr>
      <w:r>
        <w:t>d</w:t>
      </w:r>
      <w:r w:rsidRPr="00227F0F">
        <w:t xml:space="preserve">escribe the process for determining priority for access to </w:t>
      </w:r>
      <w:r>
        <w:t>f</w:t>
      </w:r>
      <w:r w:rsidRPr="00227F0F">
        <w:t xml:space="preserve">orensic </w:t>
      </w:r>
      <w:r>
        <w:t>d</w:t>
      </w:r>
      <w:r w:rsidRPr="00227F0F">
        <w:t xml:space="preserve">isability </w:t>
      </w:r>
      <w:r>
        <w:t xml:space="preserve">services and </w:t>
      </w:r>
    </w:p>
    <w:p w14:paraId="149C5840" w14:textId="77777777" w:rsidR="00E81C5C" w:rsidRPr="00A47479" w:rsidRDefault="00E81C5C" w:rsidP="00E81C5C">
      <w:pPr>
        <w:pStyle w:val="BulletPointList"/>
        <w:numPr>
          <w:ilvl w:val="0"/>
          <w:numId w:val="0"/>
        </w:numPr>
        <w:ind w:left="924"/>
      </w:pPr>
      <w:r>
        <w:t>registration of need for these services</w:t>
      </w:r>
      <w:r w:rsidRPr="00227F0F">
        <w:t>.</w:t>
      </w:r>
    </w:p>
    <w:p w14:paraId="4CF23E3B" w14:textId="77777777" w:rsidR="00E81C5C" w:rsidRDefault="00E81C5C" w:rsidP="00E81C5C">
      <w:pPr>
        <w:pStyle w:val="Heading2"/>
      </w:pPr>
      <w:bookmarkStart w:id="2" w:name="_Toc205460167"/>
      <w:r>
        <w:t>3. Principles</w:t>
      </w:r>
      <w:bookmarkEnd w:id="2"/>
      <w:r>
        <w:t xml:space="preserve"> </w:t>
      </w:r>
    </w:p>
    <w:p w14:paraId="044A3301" w14:textId="77777777" w:rsidR="00E81C5C" w:rsidRDefault="00E81C5C" w:rsidP="00E81C5C">
      <w:pPr>
        <w:pStyle w:val="Body"/>
        <w:jc w:val="both"/>
      </w:pPr>
      <w:r>
        <w:t xml:space="preserve">The principles that guide access to forensic disability services are derived from </w:t>
      </w:r>
      <w:proofErr w:type="gramStart"/>
      <w:r>
        <w:t>the  Act</w:t>
      </w:r>
      <w:proofErr w:type="gramEnd"/>
      <w:r>
        <w:t>, specifically section 5 which outlines principles that relate to people with disability. These principles include that people with disability have the same rights as other community members to participate actively in decisions and be provided appropriate information and support necessary for this to occur.</w:t>
      </w:r>
    </w:p>
    <w:p w14:paraId="2D937179" w14:textId="77777777" w:rsidR="00E81C5C" w:rsidRDefault="00E81C5C" w:rsidP="00E81C5C">
      <w:pPr>
        <w:pStyle w:val="Body"/>
        <w:jc w:val="both"/>
      </w:pPr>
      <w:r>
        <w:t>Forensic disability services are a statewide service that aims to be flexible and responsive, maximise choice and independence, and foster collaboration, coordination, capacity building and integration with local services and where possible minimise the need for an individual to move out of their local community to receive these supports. In this vein,</w:t>
      </w:r>
      <w:r w:rsidDel="006742E6">
        <w:t xml:space="preserve"> </w:t>
      </w:r>
      <w:r>
        <w:t>forensic disability services acknowledge the important role that families and carers play in supporting people with disability.</w:t>
      </w:r>
      <w:r w:rsidDel="001F2EEE">
        <w:t xml:space="preserve"> </w:t>
      </w:r>
    </w:p>
    <w:p w14:paraId="0C750D12" w14:textId="77777777" w:rsidR="00E81C5C" w:rsidRDefault="00E81C5C" w:rsidP="00E81C5C">
      <w:pPr>
        <w:pStyle w:val="Body"/>
        <w:jc w:val="both"/>
      </w:pPr>
      <w:r>
        <w:t xml:space="preserve">Consideration to the marginalisation of individuals and how this may affect their access and engagement with services is another guiding principle. The reality that people with disability may experience increased disadvantage because of their gender, sexual orientation, language, cultural or indigenous background, or location is a core principle of the access policy. </w:t>
      </w:r>
    </w:p>
    <w:p w14:paraId="0183246A" w14:textId="77777777" w:rsidR="00E81C5C" w:rsidRDefault="00E81C5C" w:rsidP="00E81C5C">
      <w:pPr>
        <w:pStyle w:val="Body"/>
        <w:jc w:val="both"/>
      </w:pPr>
      <w:r>
        <w:t xml:space="preserve">The Secretary of the Department has legislated responsibilities under the Act that are reflected in this policy. These responsibilities are commonly undertaken by the Secretary’s delegate as detailed in the </w:t>
      </w:r>
      <w:r>
        <w:lastRenderedPageBreak/>
        <w:t xml:space="preserve">Instrument of Delegation, </w:t>
      </w:r>
      <w:r w:rsidRPr="00DE437E">
        <w:rPr>
          <w:i/>
        </w:rPr>
        <w:t>Disability Act 2006</w:t>
      </w:r>
      <w:r>
        <w:t xml:space="preserve"> and these responsibilities underpin the principles of this policy</w:t>
      </w:r>
      <w:r w:rsidDel="00FB0051">
        <w:t xml:space="preserve">. </w:t>
      </w:r>
    </w:p>
    <w:p w14:paraId="1F18A4D1" w14:textId="77777777" w:rsidR="00E81C5C" w:rsidRDefault="00E81C5C" w:rsidP="00E81C5C">
      <w:pPr>
        <w:pStyle w:val="Heading2"/>
        <w:jc w:val="both"/>
      </w:pPr>
      <w:bookmarkStart w:id="3" w:name="_Toc205460168"/>
      <w:r>
        <w:t>4. Referral</w:t>
      </w:r>
      <w:bookmarkEnd w:id="3"/>
    </w:p>
    <w:p w14:paraId="0F77A326" w14:textId="77777777" w:rsidR="00E81C5C" w:rsidRDefault="00E81C5C" w:rsidP="00E81C5C">
      <w:pPr>
        <w:pStyle w:val="Body"/>
        <w:jc w:val="both"/>
      </w:pPr>
      <w:r>
        <w:t>Referrals to forensic disability services may be received from several sources, including:</w:t>
      </w:r>
    </w:p>
    <w:p w14:paraId="7BBA90C7" w14:textId="77777777" w:rsidR="00E81C5C" w:rsidRDefault="00E81C5C" w:rsidP="00E81C5C">
      <w:pPr>
        <w:pStyle w:val="BulletPointList"/>
      </w:pPr>
      <w:r>
        <w:t>mandated by a court or statutory authority</w:t>
      </w:r>
    </w:p>
    <w:p w14:paraId="3F510BAE" w14:textId="77777777" w:rsidR="00E81C5C" w:rsidRDefault="00E81C5C" w:rsidP="00E81C5C">
      <w:pPr>
        <w:pStyle w:val="BulletPointList"/>
      </w:pPr>
      <w:r>
        <w:t>made directly by the person with a disability</w:t>
      </w:r>
    </w:p>
    <w:p w14:paraId="2339EB4E" w14:textId="77777777" w:rsidR="00E81C5C" w:rsidRDefault="00E81C5C" w:rsidP="00E81C5C">
      <w:pPr>
        <w:pStyle w:val="BulletPointList"/>
      </w:pPr>
      <w:r>
        <w:t xml:space="preserve">referred by a professional or support worker of the person with disability </w:t>
      </w:r>
    </w:p>
    <w:p w14:paraId="0004C1B1" w14:textId="77777777" w:rsidR="00E81C5C" w:rsidRDefault="00E81C5C" w:rsidP="00E81C5C">
      <w:pPr>
        <w:pStyle w:val="Body"/>
        <w:jc w:val="both"/>
      </w:pPr>
      <w:r>
        <w:t>Forensic disability will first establish a person’s eligibility in accordance with the Act (see section 6) and then determine whether the person with disability is considered to meet the priority of access criteria and any program specific priority indicators before a referral to forensic disability programs is made (see sections 7 and 8).</w:t>
      </w:r>
    </w:p>
    <w:p w14:paraId="5187592C" w14:textId="77777777" w:rsidR="00E81C5C" w:rsidRPr="00840325" w:rsidRDefault="00E81C5C" w:rsidP="00E81C5C">
      <w:pPr>
        <w:spacing w:after="160" w:line="278" w:lineRule="auto"/>
        <w:rPr>
          <w:rFonts w:ascii="Aptos" w:eastAsia="Aptos" w:hAnsi="Aptos" w:cs="Arial"/>
          <w:noProof/>
          <w:kern w:val="2"/>
          <w:sz w:val="24"/>
          <w:szCs w:val="24"/>
          <w14:ligatures w14:val="standardContextual"/>
        </w:rPr>
      </w:pPr>
      <w:r>
        <w:rPr>
          <w:rFonts w:ascii="Aptos" w:eastAsia="Aptos" w:hAnsi="Aptos" w:cs="Arial"/>
          <w:noProof/>
          <w:kern w:val="2"/>
          <w:sz w:val="24"/>
          <w:szCs w:val="24"/>
          <w14:ligatures w14:val="standardContextual"/>
        </w:rPr>
        <w:drawing>
          <wp:inline distT="0" distB="0" distL="0" distR="0" wp14:anchorId="763A962D" wp14:editId="16D819D7">
            <wp:extent cx="6428357" cy="3774314"/>
            <wp:effectExtent l="0" t="0" r="0" b="0"/>
            <wp:docPr id="1562142696" name="Picture 2" descr="This diagram is a flowchart showing that once a referral to Forensic Disability Services is made, Forensic Disability Services will assess the eligibility as per the Act and determine if a person is eligible to access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42696" name="Picture 2" descr="This diagram is a flowchart showing that once a referral to Forensic Disability Services is made, Forensic Disability Services will assess the eligibility as per the Act and determine if a person is eligible to access servic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9868" cy="3786944"/>
                    </a:xfrm>
                    <a:prstGeom prst="rect">
                      <a:avLst/>
                    </a:prstGeom>
                    <a:noFill/>
                  </pic:spPr>
                </pic:pic>
              </a:graphicData>
            </a:graphic>
          </wp:inline>
        </w:drawing>
      </w:r>
      <w:r w:rsidRPr="00840325">
        <w:rPr>
          <w:rFonts w:ascii="Aptos" w:eastAsia="Aptos" w:hAnsi="Aptos" w:cs="Arial"/>
          <w:noProof/>
          <w:kern w:val="2"/>
          <w:sz w:val="24"/>
          <w:szCs w:val="24"/>
          <w14:ligatures w14:val="standardContextual"/>
        </w:rPr>
        <w:t xml:space="preserve">                                                                                                                                                                                                                                  </w:t>
      </w:r>
    </w:p>
    <w:p w14:paraId="5074DDD4" w14:textId="77777777" w:rsidR="00E81C5C" w:rsidRDefault="00E81C5C" w:rsidP="00E81C5C">
      <w:pPr>
        <w:pStyle w:val="Heading2"/>
      </w:pPr>
      <w:bookmarkStart w:id="4" w:name="_Toc205460169"/>
      <w:r>
        <w:t>5. Consen</w:t>
      </w:r>
      <w:r>
        <w:rPr>
          <w:bCs/>
        </w:rPr>
        <w:t>t</w:t>
      </w:r>
      <w:bookmarkEnd w:id="4"/>
    </w:p>
    <w:p w14:paraId="2E6EE47C" w14:textId="77777777" w:rsidR="00E81C5C" w:rsidRDefault="00E81C5C" w:rsidP="00E81C5C">
      <w:pPr>
        <w:pStyle w:val="paragraph"/>
        <w:spacing w:before="0" w:beforeAutospacing="0" w:after="0" w:afterAutospacing="0"/>
        <w:jc w:val="both"/>
        <w:textAlignment w:val="baseline"/>
        <w:rPr>
          <w:rStyle w:val="eop"/>
          <w:rFonts w:ascii="Arial" w:hAnsi="Arial" w:cs="Arial"/>
          <w:sz w:val="21"/>
          <w:szCs w:val="21"/>
        </w:rPr>
      </w:pPr>
      <w:r w:rsidRPr="47E66581">
        <w:rPr>
          <w:rStyle w:val="normaltextrun"/>
          <w:rFonts w:ascii="Arial" w:hAnsi="Arial" w:cs="Arial"/>
          <w:sz w:val="21"/>
          <w:szCs w:val="21"/>
        </w:rPr>
        <w:t>Consent is required, in accordance with Section 50 (3) of the Act, to both gather and share personal or health information. The person making the request should ensure that the person with disability (or their legal guardian if appropriate) is informed, in a way they can understand, why this information is being requested, and how it will be used, shared, and stored. Part 8A of the Act protects what information can be shared and for what reasons.</w:t>
      </w:r>
      <w:r w:rsidRPr="00076C71">
        <w:rPr>
          <w:rStyle w:val="eop"/>
          <w:rFonts w:ascii="Arial" w:hAnsi="Arial" w:cs="Arial"/>
          <w:sz w:val="21"/>
          <w:szCs w:val="21"/>
        </w:rPr>
        <w:t> </w:t>
      </w:r>
    </w:p>
    <w:p w14:paraId="6F40340C" w14:textId="77777777" w:rsidR="00E81C5C" w:rsidRPr="00076C71" w:rsidRDefault="00E81C5C" w:rsidP="00E81C5C">
      <w:pPr>
        <w:pStyle w:val="paragraph"/>
        <w:spacing w:before="0" w:beforeAutospacing="0" w:after="0" w:afterAutospacing="0"/>
        <w:jc w:val="both"/>
        <w:textAlignment w:val="baseline"/>
        <w:rPr>
          <w:rFonts w:ascii="Arial" w:hAnsi="Arial" w:cs="Arial"/>
          <w:sz w:val="18"/>
          <w:szCs w:val="18"/>
        </w:rPr>
      </w:pPr>
    </w:p>
    <w:p w14:paraId="0D19A9BF" w14:textId="77777777" w:rsidR="00E81C5C" w:rsidRPr="00076C71" w:rsidRDefault="00E81C5C" w:rsidP="00E81C5C">
      <w:pPr>
        <w:pStyle w:val="paragraph"/>
        <w:spacing w:before="0" w:beforeAutospacing="0" w:after="0" w:afterAutospacing="0"/>
        <w:jc w:val="both"/>
        <w:textAlignment w:val="baseline"/>
        <w:rPr>
          <w:rFonts w:ascii="Arial" w:hAnsi="Arial" w:cs="Arial"/>
          <w:sz w:val="18"/>
          <w:szCs w:val="18"/>
        </w:rPr>
      </w:pPr>
      <w:r w:rsidRPr="00076C71">
        <w:rPr>
          <w:rStyle w:val="normaltextrun"/>
          <w:rFonts w:ascii="Arial" w:hAnsi="Arial" w:cs="Arial"/>
          <w:sz w:val="21"/>
          <w:szCs w:val="21"/>
        </w:rPr>
        <w:t>Many people</w:t>
      </w:r>
      <w:r w:rsidRPr="00076C71" w:rsidDel="00F76EA8">
        <w:rPr>
          <w:rStyle w:val="normaltextrun"/>
          <w:rFonts w:ascii="Arial" w:hAnsi="Arial" w:cs="Arial"/>
          <w:sz w:val="21"/>
          <w:szCs w:val="21"/>
        </w:rPr>
        <w:t xml:space="preserve"> </w:t>
      </w:r>
      <w:r w:rsidRPr="00076C71">
        <w:rPr>
          <w:rStyle w:val="normaltextrun"/>
          <w:rFonts w:ascii="Arial" w:hAnsi="Arial" w:cs="Arial"/>
          <w:sz w:val="21"/>
          <w:szCs w:val="21"/>
        </w:rPr>
        <w:t>involved with forensic disability services are mandated by a court or statutory authority. Where the request for service is made by a court or statutory authority, consent is implied</w:t>
      </w:r>
      <w:r>
        <w:rPr>
          <w:rStyle w:val="normaltextrun"/>
          <w:rFonts w:ascii="Arial" w:hAnsi="Arial" w:cs="Arial"/>
          <w:sz w:val="21"/>
          <w:szCs w:val="21"/>
        </w:rPr>
        <w:t xml:space="preserve"> as this is required to be considered during the court assessment process.</w:t>
      </w:r>
      <w:r w:rsidRPr="00076C71">
        <w:rPr>
          <w:rStyle w:val="normaltextrun"/>
          <w:rFonts w:ascii="Arial" w:hAnsi="Arial" w:cs="Arial"/>
          <w:sz w:val="21"/>
          <w:szCs w:val="21"/>
        </w:rPr>
        <w:t xml:space="preserve"> However, it is</w:t>
      </w:r>
      <w:r w:rsidRPr="00076C71" w:rsidDel="004614DF">
        <w:rPr>
          <w:rStyle w:val="normaltextrun"/>
          <w:rFonts w:ascii="Arial" w:hAnsi="Arial" w:cs="Arial"/>
          <w:sz w:val="21"/>
          <w:szCs w:val="21"/>
        </w:rPr>
        <w:t xml:space="preserve"> </w:t>
      </w:r>
      <w:r>
        <w:rPr>
          <w:rStyle w:val="normaltextrun"/>
          <w:rFonts w:ascii="Arial" w:hAnsi="Arial" w:cs="Arial"/>
          <w:sz w:val="21"/>
          <w:szCs w:val="21"/>
        </w:rPr>
        <w:t>best</w:t>
      </w:r>
      <w:r w:rsidRPr="00076C71">
        <w:rPr>
          <w:rStyle w:val="normaltextrun"/>
          <w:rFonts w:ascii="Arial" w:hAnsi="Arial" w:cs="Arial"/>
          <w:sz w:val="21"/>
          <w:szCs w:val="21"/>
        </w:rPr>
        <w:t xml:space="preserve"> practice for forensic disability services to confirm the consent of the person with disability (or their legal guardian) at the time of commencement of a service.</w:t>
      </w:r>
      <w:r w:rsidRPr="15A154FF">
        <w:rPr>
          <w:rStyle w:val="normaltextrun"/>
          <w:rFonts w:ascii="Arial" w:hAnsi="Arial" w:cs="Arial"/>
          <w:sz w:val="21"/>
          <w:szCs w:val="21"/>
        </w:rPr>
        <w:t> </w:t>
      </w:r>
      <w:r w:rsidRPr="00076C71">
        <w:rPr>
          <w:rStyle w:val="normaltextrun"/>
          <w:rFonts w:ascii="Arial" w:hAnsi="Arial" w:cs="Arial"/>
          <w:sz w:val="21"/>
          <w:szCs w:val="21"/>
        </w:rPr>
        <w:t> </w:t>
      </w:r>
      <w:r w:rsidRPr="00076C71">
        <w:rPr>
          <w:rStyle w:val="eop"/>
          <w:rFonts w:ascii="Arial" w:hAnsi="Arial" w:cs="Arial"/>
          <w:sz w:val="21"/>
          <w:szCs w:val="21"/>
        </w:rPr>
        <w:t> </w:t>
      </w:r>
    </w:p>
    <w:p w14:paraId="2C91C1C1" w14:textId="77777777" w:rsidR="00E81C5C" w:rsidRPr="00076C71" w:rsidRDefault="00E81C5C" w:rsidP="00E81C5C">
      <w:pPr>
        <w:pStyle w:val="paragraph"/>
        <w:spacing w:before="0" w:beforeAutospacing="0" w:after="0" w:afterAutospacing="0"/>
        <w:jc w:val="both"/>
        <w:textAlignment w:val="baseline"/>
        <w:rPr>
          <w:rFonts w:ascii="Arial" w:hAnsi="Arial" w:cs="Arial"/>
          <w:sz w:val="18"/>
          <w:szCs w:val="18"/>
        </w:rPr>
      </w:pPr>
      <w:r w:rsidRPr="00076C71">
        <w:rPr>
          <w:rStyle w:val="eop"/>
          <w:rFonts w:ascii="Arial" w:hAnsi="Arial" w:cs="Arial"/>
          <w:sz w:val="21"/>
          <w:szCs w:val="21"/>
        </w:rPr>
        <w:t> </w:t>
      </w:r>
    </w:p>
    <w:p w14:paraId="6EC2D9E2" w14:textId="77777777" w:rsidR="00E81C5C" w:rsidRPr="00076C71" w:rsidRDefault="00E81C5C" w:rsidP="00E81C5C">
      <w:pPr>
        <w:pStyle w:val="paragraph"/>
        <w:spacing w:before="0" w:beforeAutospacing="0" w:after="0" w:afterAutospacing="0"/>
        <w:jc w:val="both"/>
        <w:textAlignment w:val="baseline"/>
        <w:rPr>
          <w:rFonts w:ascii="Arial" w:hAnsi="Arial" w:cs="Arial"/>
          <w:sz w:val="18"/>
          <w:szCs w:val="18"/>
        </w:rPr>
      </w:pPr>
      <w:r w:rsidRPr="00076C71">
        <w:rPr>
          <w:rStyle w:val="normaltextrun"/>
          <w:rFonts w:ascii="Arial" w:hAnsi="Arial" w:cs="Arial"/>
          <w:sz w:val="21"/>
          <w:szCs w:val="21"/>
        </w:rPr>
        <w:t xml:space="preserve">It is crucial to support the person with disability to understand the court’s mandated request and expectations. Any person has the right to refuse consent and choose not to participate in services </w:t>
      </w:r>
      <w:r w:rsidRPr="00076C71">
        <w:rPr>
          <w:rStyle w:val="normaltextrun"/>
          <w:rFonts w:ascii="Arial" w:hAnsi="Arial" w:cs="Arial"/>
          <w:sz w:val="21"/>
          <w:szCs w:val="21"/>
        </w:rPr>
        <w:lastRenderedPageBreak/>
        <w:t>ordered by the court, however all attempts should be made to inform the person of the (potential) consequences of such a decision.</w:t>
      </w:r>
      <w:r w:rsidRPr="00076C71">
        <w:rPr>
          <w:rStyle w:val="eop"/>
          <w:rFonts w:ascii="Arial" w:hAnsi="Arial" w:cs="Arial"/>
          <w:sz w:val="21"/>
          <w:szCs w:val="21"/>
        </w:rPr>
        <w:t> </w:t>
      </w:r>
    </w:p>
    <w:p w14:paraId="442DABF6" w14:textId="77777777" w:rsidR="00E81C5C" w:rsidRPr="00076C71" w:rsidRDefault="00E81C5C" w:rsidP="00E81C5C">
      <w:pPr>
        <w:pStyle w:val="paragraph"/>
        <w:spacing w:before="0" w:beforeAutospacing="0" w:after="0" w:afterAutospacing="0"/>
        <w:jc w:val="both"/>
        <w:textAlignment w:val="baseline"/>
        <w:rPr>
          <w:rFonts w:ascii="Arial" w:hAnsi="Arial" w:cs="Arial"/>
          <w:sz w:val="18"/>
          <w:szCs w:val="18"/>
        </w:rPr>
      </w:pPr>
      <w:r w:rsidRPr="00076C71">
        <w:rPr>
          <w:rStyle w:val="eop"/>
          <w:rFonts w:ascii="Arial" w:hAnsi="Arial" w:cs="Arial"/>
          <w:sz w:val="21"/>
          <w:szCs w:val="21"/>
        </w:rPr>
        <w:t> </w:t>
      </w:r>
    </w:p>
    <w:p w14:paraId="272AD5C2" w14:textId="77777777" w:rsidR="00E81C5C" w:rsidRPr="00076C71" w:rsidRDefault="00E81C5C" w:rsidP="00E81C5C">
      <w:pPr>
        <w:pStyle w:val="paragraph"/>
        <w:spacing w:before="0" w:beforeAutospacing="0" w:after="0" w:afterAutospacing="0"/>
        <w:jc w:val="both"/>
        <w:textAlignment w:val="baseline"/>
        <w:rPr>
          <w:rFonts w:ascii="Arial" w:hAnsi="Arial" w:cs="Arial"/>
          <w:sz w:val="18"/>
          <w:szCs w:val="18"/>
        </w:rPr>
      </w:pPr>
      <w:r w:rsidRPr="00076C71">
        <w:rPr>
          <w:rStyle w:val="normaltextrun"/>
          <w:rFonts w:ascii="Arial" w:hAnsi="Arial" w:cs="Arial"/>
          <w:sz w:val="21"/>
          <w:szCs w:val="21"/>
        </w:rPr>
        <w:t>People with a cognitive impairment involved in the criminal justice system or at risk of involvement with the criminal justice system may also provide consent to voluntarily engage with forensic disability services</w:t>
      </w:r>
      <w:r>
        <w:rPr>
          <w:rStyle w:val="normaltextrun"/>
          <w:rFonts w:ascii="Arial" w:hAnsi="Arial" w:cs="Arial"/>
          <w:sz w:val="21"/>
          <w:szCs w:val="21"/>
        </w:rPr>
        <w:t>.</w:t>
      </w:r>
      <w:r w:rsidRPr="00076C71">
        <w:rPr>
          <w:rStyle w:val="normaltextrun"/>
          <w:rFonts w:ascii="Arial" w:hAnsi="Arial" w:cs="Arial"/>
          <w:sz w:val="21"/>
          <w:szCs w:val="21"/>
        </w:rPr>
        <w:t> </w:t>
      </w:r>
      <w:r w:rsidRPr="00076C71">
        <w:rPr>
          <w:rStyle w:val="eop"/>
          <w:rFonts w:ascii="Arial" w:hAnsi="Arial" w:cs="Arial"/>
          <w:sz w:val="21"/>
          <w:szCs w:val="21"/>
        </w:rPr>
        <w:t> </w:t>
      </w:r>
    </w:p>
    <w:p w14:paraId="315741B4" w14:textId="77777777" w:rsidR="00E81C5C" w:rsidRPr="00DE437E" w:rsidRDefault="00E81C5C" w:rsidP="00E81C5C">
      <w:pPr>
        <w:pStyle w:val="Heading2"/>
      </w:pPr>
      <w:bookmarkStart w:id="5" w:name="_Toc205460170"/>
      <w:r>
        <w:rPr>
          <w:bCs/>
        </w:rPr>
        <w:t>6.</w:t>
      </w:r>
      <w:r w:rsidRPr="00E67CEA">
        <w:rPr>
          <w:bCs/>
        </w:rPr>
        <w:t xml:space="preserve"> </w:t>
      </w:r>
      <w:r>
        <w:rPr>
          <w:bCs/>
        </w:rPr>
        <w:t xml:space="preserve">Eligibility for </w:t>
      </w:r>
      <w:r>
        <w:t>Forensic Disability Services</w:t>
      </w:r>
      <w:bookmarkEnd w:id="5"/>
    </w:p>
    <w:p w14:paraId="7B806224" w14:textId="0D4DB942" w:rsidR="00E81C5C" w:rsidRPr="002F42CC" w:rsidRDefault="00E81C5C" w:rsidP="00E81C5C">
      <w:pPr>
        <w:pStyle w:val="Body"/>
      </w:pPr>
      <w:r>
        <w:rPr>
          <w:noProof/>
        </w:rPr>
        <w:drawing>
          <wp:inline distT="0" distB="0" distL="0" distR="0" wp14:anchorId="5DB2E561" wp14:editId="0479F12C">
            <wp:extent cx="5626510" cy="2267075"/>
            <wp:effectExtent l="0" t="0" r="0" b="0"/>
            <wp:docPr id="1027933294" name="Picture 2" descr="Diagram that shows to be eligible for Forensic Disability Services, you must be eligible under the Act, meet criteria to access Forensic Disability Services and meet criteria to access specific pro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33294" name="Picture 2" descr="Diagram that shows to be eligible for Forensic Disability Services, you must be eligible under the Act, meet criteria to access Forensic Disability Services and meet criteria to access specific program.">
                      <a:extLst>
                        <a:ext uri="{C183D7F6-B498-43B3-948B-1728B52AA6E4}">
                          <adec:decorative xmlns:adec="http://schemas.microsoft.com/office/drawing/2017/decorative" val="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9507" cy="2276341"/>
                    </a:xfrm>
                    <a:prstGeom prst="rect">
                      <a:avLst/>
                    </a:prstGeom>
                    <a:noFill/>
                  </pic:spPr>
                </pic:pic>
              </a:graphicData>
            </a:graphic>
          </wp:inline>
        </w:drawing>
      </w:r>
      <w:r>
        <w:t>This policy and eligibility to forensic disability services is governed by disability as it is defined in section 3 of the Act</w:t>
      </w:r>
      <w:r w:rsidRPr="002F42CC">
        <w:t xml:space="preserve">: </w:t>
      </w:r>
    </w:p>
    <w:p w14:paraId="0741F16C" w14:textId="77777777" w:rsidR="00E81C5C" w:rsidRPr="002F42CC" w:rsidRDefault="00E81C5C" w:rsidP="00E81C5C">
      <w:pPr>
        <w:pStyle w:val="Body"/>
        <w:rPr>
          <w:i/>
          <w:iCs/>
        </w:rPr>
      </w:pPr>
      <w:r w:rsidRPr="00FE01A0">
        <w:t>Disability</w:t>
      </w:r>
      <w:r w:rsidRPr="00FE01A0">
        <w:rPr>
          <w:b/>
        </w:rPr>
        <w:t xml:space="preserve"> </w:t>
      </w:r>
      <w:r w:rsidRPr="00FE01A0">
        <w:t>in relation to a person means</w:t>
      </w:r>
      <w:r w:rsidRPr="002F42CC">
        <w:rPr>
          <w:i/>
          <w:iCs/>
        </w:rPr>
        <w:t xml:space="preserve"> – </w:t>
      </w:r>
    </w:p>
    <w:p w14:paraId="07D776E8" w14:textId="77777777" w:rsidR="00E81C5C" w:rsidRPr="00D579D2" w:rsidRDefault="00E81C5C" w:rsidP="009B73C3">
      <w:pPr>
        <w:pStyle w:val="Body"/>
        <w:numPr>
          <w:ilvl w:val="0"/>
          <w:numId w:val="7"/>
        </w:numPr>
      </w:pPr>
      <w:r w:rsidRPr="00D579D2">
        <w:t>A sensory, physical or neurological impairment or acquired brain injury or any combination thereof, which</w:t>
      </w:r>
    </w:p>
    <w:p w14:paraId="6FF95E5F" w14:textId="77777777" w:rsidR="00E81C5C" w:rsidRPr="00D579D2" w:rsidRDefault="00E81C5C" w:rsidP="009B73C3">
      <w:pPr>
        <w:pStyle w:val="Body"/>
        <w:numPr>
          <w:ilvl w:val="0"/>
          <w:numId w:val="8"/>
        </w:numPr>
      </w:pPr>
      <w:r w:rsidRPr="00D579D2">
        <w:t>Is, or is likely to be, permanent; and</w:t>
      </w:r>
    </w:p>
    <w:p w14:paraId="4CA65647" w14:textId="77777777" w:rsidR="00E81C5C" w:rsidRPr="00D579D2" w:rsidRDefault="00E81C5C" w:rsidP="009B73C3">
      <w:pPr>
        <w:pStyle w:val="Body"/>
        <w:numPr>
          <w:ilvl w:val="0"/>
          <w:numId w:val="8"/>
        </w:numPr>
      </w:pPr>
      <w:r w:rsidRPr="00D579D2">
        <w:t>Causes a substantially reduced capacity in at least one of the areas of self-care, self-management, mobility or communication; and</w:t>
      </w:r>
    </w:p>
    <w:p w14:paraId="2448ADB3" w14:textId="77777777" w:rsidR="00E81C5C" w:rsidRPr="00D579D2" w:rsidRDefault="00E81C5C" w:rsidP="009B73C3">
      <w:pPr>
        <w:pStyle w:val="Body"/>
        <w:numPr>
          <w:ilvl w:val="0"/>
          <w:numId w:val="8"/>
        </w:numPr>
      </w:pPr>
      <w:r w:rsidRPr="00D579D2">
        <w:t>Requires significant ongoing or long-term episodic support; and</w:t>
      </w:r>
    </w:p>
    <w:p w14:paraId="133C5F95" w14:textId="77777777" w:rsidR="00E81C5C" w:rsidRPr="00D579D2" w:rsidRDefault="00E81C5C" w:rsidP="009B73C3">
      <w:pPr>
        <w:pStyle w:val="Body"/>
        <w:numPr>
          <w:ilvl w:val="0"/>
          <w:numId w:val="8"/>
        </w:numPr>
      </w:pPr>
      <w:r w:rsidRPr="00D579D2">
        <w:t>Is not related to ageing; or</w:t>
      </w:r>
    </w:p>
    <w:p w14:paraId="0E2B8969" w14:textId="77777777" w:rsidR="00E81C5C" w:rsidRPr="00D579D2" w:rsidRDefault="00E81C5C" w:rsidP="009B73C3">
      <w:pPr>
        <w:pStyle w:val="Body"/>
        <w:numPr>
          <w:ilvl w:val="0"/>
          <w:numId w:val="7"/>
        </w:numPr>
      </w:pPr>
      <w:r w:rsidRPr="00D579D2">
        <w:t xml:space="preserve">An intellectual disability; or </w:t>
      </w:r>
    </w:p>
    <w:p w14:paraId="3743300D" w14:textId="77777777" w:rsidR="00E81C5C" w:rsidRPr="00D579D2" w:rsidRDefault="00E81C5C" w:rsidP="009B73C3">
      <w:pPr>
        <w:pStyle w:val="Body"/>
        <w:numPr>
          <w:ilvl w:val="0"/>
          <w:numId w:val="7"/>
        </w:numPr>
      </w:pPr>
      <w:r w:rsidRPr="00D579D2">
        <w:t>A developmental delay.</w:t>
      </w:r>
    </w:p>
    <w:p w14:paraId="3245FBEB" w14:textId="3B0A4637" w:rsidR="00345307" w:rsidRDefault="00DD2B0E" w:rsidP="00E81C5C">
      <w:pPr>
        <w:autoSpaceDE w:val="0"/>
        <w:autoSpaceDN w:val="0"/>
        <w:adjustRightInd w:val="0"/>
        <w:spacing w:line="276" w:lineRule="auto"/>
      </w:pPr>
      <w:r>
        <w:rPr>
          <w:rStyle w:val="normaltextrun"/>
          <w:rFonts w:cs="Arial"/>
          <w:color w:val="000000"/>
          <w:szCs w:val="21"/>
          <w:shd w:val="clear" w:color="auto" w:fill="FFFFFF"/>
        </w:rPr>
        <w:t>Within the broader group of persons with disability under the Act, services provided by forensic disability services are also available to people with a cognitive impairment who are in contact with, or at risk of being in contact with the justice system. Cognitive impairment is used to refer to types of disabilities that impact cognitive functioning including intellectual disability, acquired brain injury and some types of neurological impairment.</w:t>
      </w:r>
      <w:r>
        <w:rPr>
          <w:rStyle w:val="eop"/>
          <w:rFonts w:eastAsia="MS Gothic" w:cs="Arial"/>
          <w:color w:val="000000"/>
          <w:szCs w:val="21"/>
          <w:shd w:val="clear" w:color="auto" w:fill="FFFFFF"/>
        </w:rPr>
        <w:t> </w:t>
      </w:r>
      <w:r w:rsidR="00E81C5C">
        <w:t>To access forensic disability services, an individual must be determined as being within the target group as defined by the Act:</w:t>
      </w:r>
    </w:p>
    <w:p w14:paraId="5759E49E" w14:textId="77777777" w:rsidR="00B54CFB" w:rsidRPr="00DD2B0E" w:rsidRDefault="00B54CFB" w:rsidP="00E81C5C">
      <w:pPr>
        <w:autoSpaceDE w:val="0"/>
        <w:autoSpaceDN w:val="0"/>
        <w:adjustRightInd w:val="0"/>
        <w:spacing w:line="276" w:lineRule="auto"/>
      </w:pPr>
    </w:p>
    <w:tbl>
      <w:tblPr>
        <w:tblStyle w:val="TableGrid"/>
        <w:tblW w:w="0" w:type="auto"/>
        <w:tblLook w:val="04A0" w:firstRow="1" w:lastRow="0" w:firstColumn="1" w:lastColumn="0" w:noHBand="0" w:noVBand="1"/>
      </w:tblPr>
      <w:tblGrid>
        <w:gridCol w:w="4508"/>
        <w:gridCol w:w="4508"/>
      </w:tblGrid>
      <w:tr w:rsidR="00AA1FC5" w:rsidRPr="00AA1FC5" w14:paraId="7509F51A" w14:textId="77777777" w:rsidTr="00502422">
        <w:tc>
          <w:tcPr>
            <w:tcW w:w="4508" w:type="dxa"/>
          </w:tcPr>
          <w:p w14:paraId="75775E55" w14:textId="77777777" w:rsidR="00E81C5C" w:rsidRPr="00AA1FC5" w:rsidRDefault="00E81C5C">
            <w:pPr>
              <w:autoSpaceDE w:val="0"/>
              <w:autoSpaceDN w:val="0"/>
              <w:adjustRightInd w:val="0"/>
              <w:spacing w:after="0" w:line="276" w:lineRule="auto"/>
              <w:jc w:val="both"/>
              <w:rPr>
                <w:rFonts w:eastAsia="Times"/>
                <w:b/>
                <w:bCs/>
                <w:i/>
                <w:iCs/>
                <w:lang w:eastAsia="en-AU"/>
              </w:rPr>
            </w:pPr>
            <w:r w:rsidRPr="00AA1FC5">
              <w:rPr>
                <w:rFonts w:eastAsia="Times"/>
                <w:b/>
                <w:bCs/>
                <w:i/>
                <w:iCs/>
                <w:lang w:eastAsia="en-AU"/>
              </w:rPr>
              <w:t xml:space="preserve">Included in Forensic Disability Services </w:t>
            </w:r>
          </w:p>
          <w:p w14:paraId="7F6AEC12" w14:textId="77777777" w:rsidR="00E81C5C" w:rsidRPr="00AA1FC5" w:rsidRDefault="00E81C5C">
            <w:pPr>
              <w:autoSpaceDE w:val="0"/>
              <w:autoSpaceDN w:val="0"/>
              <w:adjustRightInd w:val="0"/>
              <w:spacing w:after="0" w:line="276" w:lineRule="auto"/>
              <w:jc w:val="both"/>
              <w:rPr>
                <w:rFonts w:eastAsia="Times"/>
                <w:lang w:eastAsia="en-AU"/>
              </w:rPr>
            </w:pPr>
            <w:r w:rsidRPr="00AA1FC5">
              <w:rPr>
                <w:rFonts w:eastAsia="Times"/>
                <w:b/>
                <w:bCs/>
                <w:i/>
                <w:iCs/>
                <w:lang w:eastAsia="en-AU"/>
              </w:rPr>
              <w:t>Target Group:</w:t>
            </w:r>
          </w:p>
        </w:tc>
        <w:tc>
          <w:tcPr>
            <w:tcW w:w="4508" w:type="dxa"/>
          </w:tcPr>
          <w:p w14:paraId="43EF5EDB" w14:textId="77777777" w:rsidR="00E81C5C" w:rsidRPr="00AA1FC5" w:rsidRDefault="00E81C5C">
            <w:pPr>
              <w:autoSpaceDE w:val="0"/>
              <w:autoSpaceDN w:val="0"/>
              <w:adjustRightInd w:val="0"/>
              <w:spacing w:after="0" w:line="276" w:lineRule="auto"/>
              <w:jc w:val="both"/>
              <w:rPr>
                <w:rFonts w:eastAsia="Times"/>
                <w:b/>
                <w:bCs/>
                <w:i/>
                <w:iCs/>
                <w:lang w:eastAsia="en-AU"/>
              </w:rPr>
            </w:pPr>
            <w:r w:rsidRPr="00AA1FC5">
              <w:rPr>
                <w:rFonts w:eastAsia="Times"/>
                <w:b/>
                <w:bCs/>
                <w:i/>
                <w:iCs/>
                <w:lang w:eastAsia="en-AU"/>
              </w:rPr>
              <w:t xml:space="preserve">Excluded from Forensic Disability </w:t>
            </w:r>
          </w:p>
          <w:p w14:paraId="5116DC30" w14:textId="77777777" w:rsidR="00E81C5C" w:rsidRPr="00AA1FC5" w:rsidRDefault="00E81C5C">
            <w:pPr>
              <w:autoSpaceDE w:val="0"/>
              <w:autoSpaceDN w:val="0"/>
              <w:adjustRightInd w:val="0"/>
              <w:spacing w:after="0" w:line="276" w:lineRule="auto"/>
              <w:jc w:val="both"/>
              <w:rPr>
                <w:rFonts w:eastAsia="Times"/>
                <w:lang w:eastAsia="en-AU"/>
              </w:rPr>
            </w:pPr>
            <w:r w:rsidRPr="00AA1FC5">
              <w:rPr>
                <w:rFonts w:eastAsia="Times"/>
                <w:b/>
                <w:bCs/>
                <w:i/>
                <w:iCs/>
                <w:lang w:eastAsia="en-AU"/>
              </w:rPr>
              <w:t>Target Group:</w:t>
            </w:r>
          </w:p>
        </w:tc>
      </w:tr>
      <w:tr w:rsidR="00E81C5C" w14:paraId="2C7151FB" w14:textId="77777777">
        <w:tc>
          <w:tcPr>
            <w:tcW w:w="4508" w:type="dxa"/>
          </w:tcPr>
          <w:p w14:paraId="1A0CD438" w14:textId="77777777" w:rsidR="00E81C5C" w:rsidRDefault="00E81C5C">
            <w:pPr>
              <w:autoSpaceDE w:val="0"/>
              <w:autoSpaceDN w:val="0"/>
              <w:adjustRightInd w:val="0"/>
              <w:spacing w:after="0" w:line="276" w:lineRule="auto"/>
              <w:jc w:val="both"/>
              <w:rPr>
                <w:rFonts w:eastAsia="Times"/>
                <w:lang w:eastAsia="en-AU"/>
              </w:rPr>
            </w:pPr>
            <w:r>
              <w:rPr>
                <w:rFonts w:eastAsia="Times"/>
                <w:lang w:eastAsia="en-AU"/>
              </w:rPr>
              <w:t>Intellectual Disability</w:t>
            </w:r>
          </w:p>
        </w:tc>
        <w:tc>
          <w:tcPr>
            <w:tcW w:w="4508" w:type="dxa"/>
          </w:tcPr>
          <w:p w14:paraId="79361FDD" w14:textId="77777777" w:rsidR="00E81C5C" w:rsidRDefault="00E81C5C">
            <w:pPr>
              <w:autoSpaceDE w:val="0"/>
              <w:autoSpaceDN w:val="0"/>
              <w:adjustRightInd w:val="0"/>
              <w:spacing w:after="0" w:line="276" w:lineRule="auto"/>
              <w:jc w:val="both"/>
              <w:rPr>
                <w:rFonts w:eastAsia="Times"/>
                <w:lang w:eastAsia="en-AU"/>
              </w:rPr>
            </w:pPr>
            <w:r>
              <w:rPr>
                <w:rFonts w:eastAsia="Times"/>
                <w:lang w:eastAsia="en-AU"/>
              </w:rPr>
              <w:t>Physical Disability Only</w:t>
            </w:r>
          </w:p>
        </w:tc>
      </w:tr>
      <w:tr w:rsidR="00E81C5C" w14:paraId="53DFF111" w14:textId="77777777">
        <w:tc>
          <w:tcPr>
            <w:tcW w:w="4508" w:type="dxa"/>
          </w:tcPr>
          <w:p w14:paraId="1262C4DB" w14:textId="77777777" w:rsidR="00E81C5C" w:rsidRDefault="00E81C5C">
            <w:pPr>
              <w:autoSpaceDE w:val="0"/>
              <w:autoSpaceDN w:val="0"/>
              <w:adjustRightInd w:val="0"/>
              <w:spacing w:after="0" w:line="276" w:lineRule="auto"/>
              <w:jc w:val="both"/>
              <w:rPr>
                <w:rFonts w:eastAsia="Times"/>
                <w:lang w:eastAsia="en-AU"/>
              </w:rPr>
            </w:pPr>
            <w:r>
              <w:rPr>
                <w:rFonts w:eastAsia="Times"/>
                <w:lang w:eastAsia="en-AU"/>
              </w:rPr>
              <w:t>Acquired Brain Injury</w:t>
            </w:r>
          </w:p>
        </w:tc>
        <w:tc>
          <w:tcPr>
            <w:tcW w:w="4508" w:type="dxa"/>
          </w:tcPr>
          <w:p w14:paraId="7226C1A6" w14:textId="77777777" w:rsidR="00E81C5C" w:rsidRDefault="00E81C5C">
            <w:pPr>
              <w:autoSpaceDE w:val="0"/>
              <w:autoSpaceDN w:val="0"/>
              <w:adjustRightInd w:val="0"/>
              <w:spacing w:after="0" w:line="276" w:lineRule="auto"/>
              <w:jc w:val="both"/>
              <w:rPr>
                <w:rFonts w:eastAsia="Times"/>
                <w:lang w:eastAsia="en-AU"/>
              </w:rPr>
            </w:pPr>
            <w:r>
              <w:rPr>
                <w:rFonts w:eastAsia="Times"/>
                <w:lang w:eastAsia="en-AU"/>
              </w:rPr>
              <w:t>Sensory Disability Only</w:t>
            </w:r>
          </w:p>
        </w:tc>
      </w:tr>
      <w:tr w:rsidR="00E81C5C" w14:paraId="4C8B275F" w14:textId="77777777">
        <w:tc>
          <w:tcPr>
            <w:tcW w:w="4508" w:type="dxa"/>
          </w:tcPr>
          <w:p w14:paraId="51300B71" w14:textId="77777777" w:rsidR="00E81C5C" w:rsidRDefault="00E81C5C">
            <w:pPr>
              <w:autoSpaceDE w:val="0"/>
              <w:autoSpaceDN w:val="0"/>
              <w:adjustRightInd w:val="0"/>
              <w:spacing w:after="0" w:line="276" w:lineRule="auto"/>
              <w:jc w:val="both"/>
              <w:rPr>
                <w:rFonts w:eastAsia="Times"/>
                <w:lang w:eastAsia="en-AU"/>
              </w:rPr>
            </w:pPr>
            <w:r>
              <w:rPr>
                <w:rFonts w:eastAsia="Times"/>
                <w:lang w:eastAsia="en-AU"/>
              </w:rPr>
              <w:t>Neurological Impairment</w:t>
            </w:r>
          </w:p>
        </w:tc>
        <w:tc>
          <w:tcPr>
            <w:tcW w:w="4508" w:type="dxa"/>
          </w:tcPr>
          <w:p w14:paraId="3B33C7F7" w14:textId="77777777" w:rsidR="00E81C5C" w:rsidRDefault="00E81C5C">
            <w:pPr>
              <w:autoSpaceDE w:val="0"/>
              <w:autoSpaceDN w:val="0"/>
              <w:adjustRightInd w:val="0"/>
              <w:spacing w:after="0" w:line="276" w:lineRule="auto"/>
              <w:jc w:val="both"/>
              <w:rPr>
                <w:rFonts w:eastAsia="Times"/>
                <w:lang w:eastAsia="en-AU"/>
              </w:rPr>
            </w:pPr>
          </w:p>
        </w:tc>
      </w:tr>
    </w:tbl>
    <w:p w14:paraId="11723CC9" w14:textId="77777777" w:rsidR="00E81C5C" w:rsidRPr="004828B6" w:rsidRDefault="00E81C5C" w:rsidP="00E81C5C">
      <w:pPr>
        <w:autoSpaceDE w:val="0"/>
        <w:autoSpaceDN w:val="0"/>
        <w:adjustRightInd w:val="0"/>
        <w:spacing w:after="0" w:line="276" w:lineRule="auto"/>
        <w:jc w:val="both"/>
        <w:rPr>
          <w:rFonts w:eastAsia="Times"/>
          <w:lang w:eastAsia="en-AU"/>
        </w:rPr>
      </w:pPr>
    </w:p>
    <w:p w14:paraId="66929341" w14:textId="77777777" w:rsidR="00E81C5C" w:rsidRPr="008375BB" w:rsidRDefault="00E81C5C" w:rsidP="00E81C5C">
      <w:pPr>
        <w:pStyle w:val="Body"/>
        <w:spacing w:before="120"/>
        <w:jc w:val="both"/>
        <w:rPr>
          <w:b/>
          <w:bCs/>
          <w:szCs w:val="21"/>
          <w:u w:val="single"/>
        </w:rPr>
      </w:pPr>
      <w:r w:rsidRPr="008375BB">
        <w:rPr>
          <w:b/>
          <w:bCs/>
          <w:szCs w:val="21"/>
          <w:u w:val="single"/>
        </w:rPr>
        <w:lastRenderedPageBreak/>
        <w:t>Age Restrictions:</w:t>
      </w:r>
    </w:p>
    <w:p w14:paraId="20281336" w14:textId="77777777" w:rsidR="00E81C5C" w:rsidRDefault="00E81C5C" w:rsidP="00A712A4">
      <w:pPr>
        <w:pStyle w:val="Body"/>
        <w:spacing w:before="120"/>
        <w:jc w:val="both"/>
        <w:rPr>
          <w:szCs w:val="21"/>
        </w:rPr>
      </w:pPr>
      <w:r w:rsidRPr="004348F8">
        <w:rPr>
          <w:szCs w:val="21"/>
        </w:rPr>
        <w:t xml:space="preserve">Access to </w:t>
      </w:r>
      <w:r>
        <w:rPr>
          <w:szCs w:val="21"/>
        </w:rPr>
        <w:t>forensic disability</w:t>
      </w:r>
      <w:r w:rsidRPr="004348F8">
        <w:rPr>
          <w:szCs w:val="21"/>
        </w:rPr>
        <w:t xml:space="preserve"> </w:t>
      </w:r>
      <w:r>
        <w:rPr>
          <w:szCs w:val="21"/>
        </w:rPr>
        <w:t xml:space="preserve">services </w:t>
      </w:r>
      <w:r w:rsidRPr="004348F8">
        <w:rPr>
          <w:szCs w:val="21"/>
        </w:rPr>
        <w:t xml:space="preserve">is available to children aged over 10 years with a disability. </w:t>
      </w:r>
      <w:r>
        <w:rPr>
          <w:szCs w:val="21"/>
        </w:rPr>
        <w:t>Any</w:t>
      </w:r>
      <w:r w:rsidRPr="004348F8">
        <w:rPr>
          <w:szCs w:val="21"/>
        </w:rPr>
        <w:t xml:space="preserve"> treatment and support offered by </w:t>
      </w:r>
      <w:r>
        <w:rPr>
          <w:szCs w:val="21"/>
        </w:rPr>
        <w:t>forensic disability</w:t>
      </w:r>
      <w:r w:rsidRPr="004348F8">
        <w:rPr>
          <w:szCs w:val="21"/>
        </w:rPr>
        <w:t xml:space="preserve"> </w:t>
      </w:r>
      <w:r>
        <w:rPr>
          <w:szCs w:val="21"/>
        </w:rPr>
        <w:t xml:space="preserve">services </w:t>
      </w:r>
      <w:r w:rsidRPr="004348F8">
        <w:rPr>
          <w:szCs w:val="21"/>
        </w:rPr>
        <w:t xml:space="preserve">to a child with disability aged between 10 and 14 years will be </w:t>
      </w:r>
      <w:r>
        <w:rPr>
          <w:szCs w:val="21"/>
        </w:rPr>
        <w:t xml:space="preserve">provided </w:t>
      </w:r>
      <w:r w:rsidRPr="004348F8">
        <w:rPr>
          <w:szCs w:val="21"/>
        </w:rPr>
        <w:t>within the context of early intervention.</w:t>
      </w:r>
    </w:p>
    <w:p w14:paraId="3C75B5FD" w14:textId="77777777" w:rsidR="00E81C5C" w:rsidRPr="00076C71" w:rsidRDefault="00E81C5C" w:rsidP="00A712A4">
      <w:pPr>
        <w:jc w:val="both"/>
        <w:rPr>
          <w:rFonts w:ascii="Aptos" w:hAnsi="Aptos"/>
          <w:sz w:val="22"/>
          <w:szCs w:val="22"/>
        </w:rPr>
      </w:pPr>
      <w:r w:rsidRPr="00076C71">
        <w:t xml:space="preserve">For a person with disability who is aged 65 years or </w:t>
      </w:r>
      <w:r>
        <w:t>over, it</w:t>
      </w:r>
      <w:r w:rsidRPr="00076C71">
        <w:t xml:space="preserve"> is important to consider what the person’s primary need is and how that need can best be met, particularly if they are accessing for the first time. Forensic disability services must carefully consider </w:t>
      </w:r>
      <w:r>
        <w:t>if they meet the priority of access criteria or whether aged care services</w:t>
      </w:r>
      <w:r w:rsidRPr="00076C71">
        <w:t xml:space="preserve"> are more appropriate to meet the support needs of the person. </w:t>
      </w:r>
    </w:p>
    <w:p w14:paraId="0AD38DAB" w14:textId="77777777" w:rsidR="00E81C5C" w:rsidRPr="00076C71" w:rsidRDefault="00E81C5C" w:rsidP="00E81C5C">
      <w:pPr>
        <w:pStyle w:val="Heading4"/>
        <w:rPr>
          <w:b w:val="0"/>
        </w:rPr>
      </w:pPr>
      <w:bookmarkStart w:id="6" w:name="_Toc205460171"/>
      <w:r w:rsidRPr="00076C71">
        <w:rPr>
          <w:b w:val="0"/>
          <w:bCs w:val="0"/>
        </w:rPr>
        <w:t>6</w:t>
      </w:r>
      <w:r w:rsidRPr="00076C71">
        <w:rPr>
          <w:b w:val="0"/>
        </w:rPr>
        <w:t xml:space="preserve">.1.1 </w:t>
      </w:r>
      <w:r>
        <w:rPr>
          <w:b w:val="0"/>
        </w:rPr>
        <w:t>Intellectual Disability Criteria</w:t>
      </w:r>
      <w:bookmarkEnd w:id="6"/>
      <w:r>
        <w:rPr>
          <w:b w:val="0"/>
        </w:rPr>
        <w:t xml:space="preserve"> </w:t>
      </w:r>
      <w:r w:rsidRPr="00076C71">
        <w:rPr>
          <w:b w:val="0"/>
        </w:rPr>
        <w:t xml:space="preserve"> </w:t>
      </w:r>
    </w:p>
    <w:p w14:paraId="70EE9C08" w14:textId="77777777" w:rsidR="00E81C5C" w:rsidRDefault="00E81C5C" w:rsidP="00E81C5C">
      <w:pPr>
        <w:pStyle w:val="Body"/>
        <w:jc w:val="both"/>
      </w:pPr>
      <w:r>
        <w:t>In determining whether a person meets the criteria for an intellectual disability within the Act, forensic disability services will consider a person's developmental history, education and vocational background, the level of support required with cognitive and adaptive tasks, in addition to cognitive and adaptive assessments.</w:t>
      </w:r>
    </w:p>
    <w:p w14:paraId="1D9E0298" w14:textId="77777777" w:rsidR="00345307" w:rsidRDefault="00345307" w:rsidP="00E81C5C">
      <w:pPr>
        <w:pStyle w:val="Body"/>
        <w:jc w:val="both"/>
      </w:pPr>
    </w:p>
    <w:tbl>
      <w:tblPr>
        <w:tblStyle w:val="TableGrid"/>
        <w:tblW w:w="0" w:type="auto"/>
        <w:tblLook w:val="04A0" w:firstRow="1" w:lastRow="0" w:firstColumn="1" w:lastColumn="0" w:noHBand="0" w:noVBand="1"/>
      </w:tblPr>
      <w:tblGrid>
        <w:gridCol w:w="4508"/>
        <w:gridCol w:w="4508"/>
      </w:tblGrid>
      <w:tr w:rsidR="00502422" w:rsidRPr="00502422" w14:paraId="1E310C5C" w14:textId="77777777" w:rsidTr="00502422">
        <w:tc>
          <w:tcPr>
            <w:tcW w:w="4508" w:type="dxa"/>
          </w:tcPr>
          <w:p w14:paraId="0CE4C09E" w14:textId="77777777" w:rsidR="00E81C5C" w:rsidRPr="00502422" w:rsidRDefault="00E81C5C">
            <w:pPr>
              <w:autoSpaceDE w:val="0"/>
              <w:autoSpaceDN w:val="0"/>
              <w:adjustRightInd w:val="0"/>
              <w:spacing w:after="0" w:line="276" w:lineRule="auto"/>
              <w:jc w:val="both"/>
              <w:rPr>
                <w:rFonts w:eastAsia="Times"/>
                <w:b/>
                <w:bCs/>
                <w:lang w:eastAsia="en-AU"/>
              </w:rPr>
            </w:pPr>
            <w:r w:rsidRPr="00502422">
              <w:rPr>
                <w:rFonts w:eastAsia="Times"/>
                <w:b/>
                <w:bCs/>
                <w:lang w:eastAsia="en-AU"/>
              </w:rPr>
              <w:t>Intellectual Disability (ID) criteria</w:t>
            </w:r>
          </w:p>
        </w:tc>
        <w:tc>
          <w:tcPr>
            <w:tcW w:w="4508" w:type="dxa"/>
          </w:tcPr>
          <w:p w14:paraId="3EBE1B7B" w14:textId="77777777" w:rsidR="00E81C5C" w:rsidRPr="00502422" w:rsidRDefault="00E81C5C">
            <w:pPr>
              <w:autoSpaceDE w:val="0"/>
              <w:autoSpaceDN w:val="0"/>
              <w:adjustRightInd w:val="0"/>
              <w:spacing w:after="0" w:line="276" w:lineRule="auto"/>
              <w:rPr>
                <w:rFonts w:eastAsia="Times"/>
                <w:b/>
                <w:bCs/>
                <w:lang w:eastAsia="en-AU"/>
              </w:rPr>
            </w:pPr>
            <w:r w:rsidRPr="00502422">
              <w:rPr>
                <w:rFonts w:eastAsia="Times"/>
                <w:b/>
                <w:bCs/>
                <w:lang w:eastAsia="en-AU"/>
              </w:rPr>
              <w:t xml:space="preserve">Supporting Evidence </w:t>
            </w:r>
          </w:p>
        </w:tc>
      </w:tr>
      <w:tr w:rsidR="00E81C5C" w14:paraId="7E8E49B5" w14:textId="77777777">
        <w:tc>
          <w:tcPr>
            <w:tcW w:w="4508" w:type="dxa"/>
          </w:tcPr>
          <w:p w14:paraId="5AB3F49F" w14:textId="77777777" w:rsidR="00E81C5C" w:rsidRPr="00455682" w:rsidRDefault="00E81C5C" w:rsidP="009B73C3">
            <w:pPr>
              <w:pStyle w:val="Body"/>
              <w:numPr>
                <w:ilvl w:val="0"/>
                <w:numId w:val="11"/>
              </w:numPr>
              <w:spacing w:before="120"/>
              <w:ind w:left="306" w:hanging="284"/>
            </w:pPr>
            <w:r>
              <w:t xml:space="preserve">is </w:t>
            </w:r>
            <w:r w:rsidRPr="00455682">
              <w:t>the person over the age of 5 years, &amp;</w:t>
            </w:r>
          </w:p>
          <w:p w14:paraId="44BC5160" w14:textId="77777777" w:rsidR="00E81C5C" w:rsidRPr="00455682" w:rsidRDefault="00E81C5C" w:rsidP="009B73C3">
            <w:pPr>
              <w:pStyle w:val="Body"/>
              <w:numPr>
                <w:ilvl w:val="0"/>
                <w:numId w:val="11"/>
              </w:numPr>
              <w:spacing w:before="120"/>
              <w:ind w:left="306" w:hanging="284"/>
            </w:pPr>
            <w:r>
              <w:t>has a</w:t>
            </w:r>
            <w:r w:rsidRPr="00455682">
              <w:t xml:space="preserve"> significant sub-average general intellectual functioning, &amp;</w:t>
            </w:r>
          </w:p>
          <w:p w14:paraId="078AB302" w14:textId="77777777" w:rsidR="00E81C5C" w:rsidRPr="00455682" w:rsidRDefault="00E81C5C" w:rsidP="009B73C3">
            <w:pPr>
              <w:pStyle w:val="Body"/>
              <w:numPr>
                <w:ilvl w:val="0"/>
                <w:numId w:val="11"/>
              </w:numPr>
              <w:spacing w:before="120"/>
              <w:ind w:left="306" w:hanging="284"/>
            </w:pPr>
            <w:r>
              <w:t>has</w:t>
            </w:r>
            <w:r w:rsidRPr="00455682">
              <w:t xml:space="preserve"> significant deficits in adaptive behaviour.</w:t>
            </w:r>
          </w:p>
          <w:p w14:paraId="6F02131D" w14:textId="77777777" w:rsidR="00E81C5C" w:rsidRDefault="00E81C5C">
            <w:pPr>
              <w:pStyle w:val="Body"/>
              <w:spacing w:before="120"/>
            </w:pPr>
            <w:r w:rsidRPr="00455682">
              <w:t>(with the last two present before age 18)</w:t>
            </w:r>
          </w:p>
        </w:tc>
        <w:tc>
          <w:tcPr>
            <w:tcW w:w="4508" w:type="dxa"/>
          </w:tcPr>
          <w:p w14:paraId="3DA43300" w14:textId="77777777" w:rsidR="00E81C5C" w:rsidRPr="00455682" w:rsidRDefault="00E81C5C" w:rsidP="009B73C3">
            <w:pPr>
              <w:pStyle w:val="Body"/>
              <w:numPr>
                <w:ilvl w:val="0"/>
                <w:numId w:val="11"/>
              </w:numPr>
              <w:spacing w:before="120"/>
              <w:ind w:left="201" w:hanging="201"/>
            </w:pPr>
            <w:r w:rsidRPr="00455682">
              <w:t>Previous Cognitive Assessments</w:t>
            </w:r>
          </w:p>
          <w:p w14:paraId="5F455D64" w14:textId="77777777" w:rsidR="00E81C5C" w:rsidRPr="00455682" w:rsidRDefault="00E81C5C" w:rsidP="009B73C3">
            <w:pPr>
              <w:pStyle w:val="Body"/>
              <w:numPr>
                <w:ilvl w:val="0"/>
                <w:numId w:val="11"/>
              </w:numPr>
              <w:spacing w:before="120"/>
              <w:ind w:left="201" w:hanging="201"/>
            </w:pPr>
            <w:r w:rsidRPr="00455682">
              <w:t>Adaptive Behaviour Assessments</w:t>
            </w:r>
          </w:p>
          <w:p w14:paraId="031CAFBB" w14:textId="77777777" w:rsidR="00E81C5C" w:rsidRDefault="00E81C5C" w:rsidP="009B73C3">
            <w:pPr>
              <w:pStyle w:val="Body"/>
              <w:numPr>
                <w:ilvl w:val="0"/>
                <w:numId w:val="11"/>
              </w:numPr>
              <w:spacing w:before="120"/>
              <w:ind w:left="201" w:hanging="201"/>
            </w:pPr>
            <w:r w:rsidRPr="00455682">
              <w:t>Self-Report or Carers Observations</w:t>
            </w:r>
          </w:p>
        </w:tc>
      </w:tr>
    </w:tbl>
    <w:p w14:paraId="33AEAE7A" w14:textId="77777777" w:rsidR="00E81C5C" w:rsidRPr="00E67CEA" w:rsidRDefault="00E81C5C" w:rsidP="00E81C5C">
      <w:pPr>
        <w:pStyle w:val="Body"/>
        <w:jc w:val="both"/>
      </w:pPr>
    </w:p>
    <w:p w14:paraId="4F684354" w14:textId="77777777" w:rsidR="00E81C5C" w:rsidRPr="00DF0E76" w:rsidRDefault="00E81C5C" w:rsidP="00E81C5C">
      <w:pPr>
        <w:pStyle w:val="Heading4"/>
        <w:jc w:val="both"/>
        <w:rPr>
          <w:b w:val="0"/>
          <w:bCs w:val="0"/>
          <w:color w:val="0F243E" w:themeColor="text2" w:themeShade="80"/>
        </w:rPr>
      </w:pPr>
      <w:bookmarkStart w:id="7" w:name="_Toc205460172"/>
      <w:r w:rsidRPr="47E66581">
        <w:rPr>
          <w:b w:val="0"/>
          <w:bCs w:val="0"/>
          <w:color w:val="0F243E" w:themeColor="text2" w:themeShade="80"/>
        </w:rPr>
        <w:t>6.1.</w:t>
      </w:r>
      <w:r>
        <w:rPr>
          <w:b w:val="0"/>
          <w:bCs w:val="0"/>
          <w:color w:val="0F243E" w:themeColor="text2" w:themeShade="80"/>
        </w:rPr>
        <w:t>2</w:t>
      </w:r>
      <w:r w:rsidRPr="47E66581">
        <w:rPr>
          <w:b w:val="0"/>
          <w:bCs w:val="0"/>
          <w:color w:val="0F243E" w:themeColor="text2" w:themeShade="80"/>
        </w:rPr>
        <w:t xml:space="preserve"> </w:t>
      </w:r>
      <w:r>
        <w:rPr>
          <w:b w:val="0"/>
          <w:bCs w:val="0"/>
          <w:color w:val="0F243E" w:themeColor="text2" w:themeShade="80"/>
        </w:rPr>
        <w:t>Acquired Brain Injury and N</w:t>
      </w:r>
      <w:r w:rsidRPr="47E66581">
        <w:rPr>
          <w:b w:val="0"/>
          <w:bCs w:val="0"/>
          <w:color w:val="0F243E" w:themeColor="text2" w:themeShade="80"/>
        </w:rPr>
        <w:t xml:space="preserve">eurological </w:t>
      </w:r>
      <w:r>
        <w:rPr>
          <w:b w:val="0"/>
          <w:bCs w:val="0"/>
          <w:color w:val="0F243E" w:themeColor="text2" w:themeShade="80"/>
        </w:rPr>
        <w:t>I</w:t>
      </w:r>
      <w:r w:rsidRPr="47E66581">
        <w:rPr>
          <w:b w:val="0"/>
          <w:bCs w:val="0"/>
          <w:color w:val="0F243E" w:themeColor="text2" w:themeShade="80"/>
        </w:rPr>
        <w:t xml:space="preserve">mpairment </w:t>
      </w:r>
      <w:r>
        <w:rPr>
          <w:b w:val="0"/>
          <w:bCs w:val="0"/>
          <w:color w:val="0F243E" w:themeColor="text2" w:themeShade="80"/>
        </w:rPr>
        <w:t>Criteria</w:t>
      </w:r>
      <w:bookmarkEnd w:id="7"/>
      <w:r>
        <w:rPr>
          <w:b w:val="0"/>
          <w:bCs w:val="0"/>
          <w:color w:val="0F243E" w:themeColor="text2" w:themeShade="80"/>
        </w:rPr>
        <w:t xml:space="preserve"> </w:t>
      </w:r>
    </w:p>
    <w:p w14:paraId="6DEBD284" w14:textId="77777777" w:rsidR="00E81C5C" w:rsidRPr="00B8736C" w:rsidRDefault="00E81C5C" w:rsidP="00E81C5C">
      <w:pPr>
        <w:pStyle w:val="Body"/>
        <w:spacing w:before="120"/>
        <w:jc w:val="both"/>
        <w:rPr>
          <w:szCs w:val="21"/>
        </w:rPr>
      </w:pPr>
      <w:r>
        <w:rPr>
          <w:szCs w:val="21"/>
        </w:rPr>
        <w:t>An acquired brain injury (ABI) is damage to the brain that occurs after birth and is not related to congenital or degenerative disease. Damage may be caused by a traumatic head injury or a non-traumatic cause. The</w:t>
      </w:r>
      <w:r w:rsidRPr="00E67CEA">
        <w:rPr>
          <w:szCs w:val="21"/>
        </w:rPr>
        <w:t xml:space="preserve"> existence of </w:t>
      </w:r>
      <w:r>
        <w:rPr>
          <w:szCs w:val="21"/>
        </w:rPr>
        <w:t xml:space="preserve">an </w:t>
      </w:r>
      <w:r w:rsidRPr="00E67CEA">
        <w:rPr>
          <w:szCs w:val="21"/>
        </w:rPr>
        <w:t xml:space="preserve">acquired brain injury, as well as </w:t>
      </w:r>
      <w:r>
        <w:rPr>
          <w:szCs w:val="21"/>
        </w:rPr>
        <w:t xml:space="preserve">an </w:t>
      </w:r>
      <w:r w:rsidRPr="00E67CEA">
        <w:rPr>
          <w:szCs w:val="21"/>
        </w:rPr>
        <w:t xml:space="preserve">associated </w:t>
      </w:r>
      <w:r w:rsidRPr="002B24BE">
        <w:rPr>
          <w:szCs w:val="21"/>
        </w:rPr>
        <w:t xml:space="preserve">cognitive </w:t>
      </w:r>
      <w:r w:rsidRPr="00E67CEA">
        <w:rPr>
          <w:szCs w:val="21"/>
        </w:rPr>
        <w:t xml:space="preserve">impact must be </w:t>
      </w:r>
      <w:r>
        <w:rPr>
          <w:szCs w:val="21"/>
        </w:rPr>
        <w:t xml:space="preserve">present for the criteria to be met. </w:t>
      </w:r>
    </w:p>
    <w:p w14:paraId="0AF80C77" w14:textId="77777777" w:rsidR="00E81C5C" w:rsidRDefault="00E81C5C" w:rsidP="00E81C5C">
      <w:pPr>
        <w:jc w:val="both"/>
      </w:pPr>
      <w:r>
        <w:t xml:space="preserve">A neurological impairment is a disturbance in the structure or function of the nervous system resulting from developmental differences, disease, injury or toxin. Different neurological impairments will impact people in different ways resulting in people experiencing difficulties in a range of life areas, some of which may be specific to a particular disorder. </w:t>
      </w:r>
    </w:p>
    <w:p w14:paraId="6902E41B" w14:textId="77777777" w:rsidR="00E81C5C" w:rsidRDefault="00E81C5C" w:rsidP="00E81C5C">
      <w:pPr>
        <w:jc w:val="both"/>
      </w:pPr>
      <w:r>
        <w:t>Autism Spectrum Disorder (ASD) is considered a neurological impairment within the definition of the Act. ASD refers to a range of neurodevelopmental disabilities characterised by significant challenges in social interaction, communication, and restricted repetitive behaviours, interests, and activities.</w:t>
      </w:r>
    </w:p>
    <w:p w14:paraId="5A36DD5F" w14:textId="77777777" w:rsidR="00345307" w:rsidRDefault="00345307" w:rsidP="00E81C5C">
      <w:pPr>
        <w:jc w:val="both"/>
      </w:pPr>
    </w:p>
    <w:tbl>
      <w:tblPr>
        <w:tblStyle w:val="TableGrid"/>
        <w:tblW w:w="0" w:type="auto"/>
        <w:tblLook w:val="04A0" w:firstRow="1" w:lastRow="0" w:firstColumn="1" w:lastColumn="0" w:noHBand="0" w:noVBand="1"/>
      </w:tblPr>
      <w:tblGrid>
        <w:gridCol w:w="4508"/>
        <w:gridCol w:w="4508"/>
      </w:tblGrid>
      <w:tr w:rsidR="00502422" w:rsidRPr="00502422" w14:paraId="08B59984" w14:textId="77777777" w:rsidTr="00502422">
        <w:tc>
          <w:tcPr>
            <w:tcW w:w="4508" w:type="dxa"/>
          </w:tcPr>
          <w:p w14:paraId="2EF5C676" w14:textId="77777777" w:rsidR="00E81C5C" w:rsidRPr="00502422" w:rsidRDefault="00E81C5C">
            <w:pPr>
              <w:autoSpaceDE w:val="0"/>
              <w:autoSpaceDN w:val="0"/>
              <w:adjustRightInd w:val="0"/>
              <w:spacing w:after="0" w:line="276" w:lineRule="auto"/>
              <w:jc w:val="both"/>
              <w:rPr>
                <w:rFonts w:eastAsia="Times"/>
                <w:b/>
                <w:bCs/>
                <w:lang w:eastAsia="en-AU"/>
              </w:rPr>
            </w:pPr>
            <w:r w:rsidRPr="00502422">
              <w:rPr>
                <w:rFonts w:eastAsia="Times"/>
                <w:b/>
                <w:bCs/>
                <w:lang w:eastAsia="en-AU"/>
              </w:rPr>
              <w:t>Acquired Brain Injury (ABI) or Neurological Impairment criteria</w:t>
            </w:r>
          </w:p>
        </w:tc>
        <w:tc>
          <w:tcPr>
            <w:tcW w:w="4508" w:type="dxa"/>
          </w:tcPr>
          <w:p w14:paraId="25CB70DD" w14:textId="77777777" w:rsidR="00E81C5C" w:rsidRPr="00502422" w:rsidRDefault="00E81C5C">
            <w:pPr>
              <w:autoSpaceDE w:val="0"/>
              <w:autoSpaceDN w:val="0"/>
              <w:adjustRightInd w:val="0"/>
              <w:spacing w:after="0" w:line="276" w:lineRule="auto"/>
              <w:rPr>
                <w:rFonts w:eastAsia="Times"/>
                <w:b/>
                <w:bCs/>
                <w:lang w:eastAsia="en-AU"/>
              </w:rPr>
            </w:pPr>
            <w:r w:rsidRPr="00502422">
              <w:rPr>
                <w:rFonts w:eastAsia="Times"/>
                <w:b/>
                <w:bCs/>
                <w:lang w:eastAsia="en-AU"/>
              </w:rPr>
              <w:t xml:space="preserve">Supporting Evidence </w:t>
            </w:r>
          </w:p>
        </w:tc>
      </w:tr>
      <w:tr w:rsidR="00E81C5C" w:rsidRPr="00286541" w14:paraId="349ED3D7" w14:textId="77777777">
        <w:tc>
          <w:tcPr>
            <w:tcW w:w="4508" w:type="dxa"/>
          </w:tcPr>
          <w:p w14:paraId="39CF1E84" w14:textId="77777777" w:rsidR="00E81C5C" w:rsidRPr="0087166C" w:rsidRDefault="00E81C5C" w:rsidP="009B73C3">
            <w:pPr>
              <w:pStyle w:val="ListParagraph"/>
              <w:numPr>
                <w:ilvl w:val="0"/>
                <w:numId w:val="12"/>
              </w:numPr>
              <w:spacing w:before="120"/>
              <w:rPr>
                <w:rFonts w:eastAsia="Times"/>
              </w:rPr>
            </w:pPr>
            <w:r>
              <w:rPr>
                <w:rFonts w:eastAsia="Times"/>
              </w:rPr>
              <w:t>I</w:t>
            </w:r>
            <w:r w:rsidRPr="0087166C">
              <w:rPr>
                <w:rFonts w:eastAsia="Times"/>
              </w:rPr>
              <w:t>s, or likely to be, permanent</w:t>
            </w:r>
          </w:p>
          <w:p w14:paraId="59D28551" w14:textId="77777777" w:rsidR="00E81C5C" w:rsidRPr="0087166C" w:rsidRDefault="00E81C5C" w:rsidP="009B73C3">
            <w:pPr>
              <w:pStyle w:val="ListParagraph"/>
              <w:numPr>
                <w:ilvl w:val="0"/>
                <w:numId w:val="12"/>
              </w:numPr>
              <w:spacing w:before="120"/>
              <w:rPr>
                <w:rFonts w:eastAsia="Times"/>
              </w:rPr>
            </w:pPr>
            <w:r w:rsidRPr="0087166C">
              <w:rPr>
                <w:rFonts w:eastAsia="Times"/>
              </w:rPr>
              <w:t>Causes substantially reduced capacity in at least one of the areas of self-care, self-management, communication and/or mobility.</w:t>
            </w:r>
          </w:p>
          <w:p w14:paraId="7C516CAF" w14:textId="77777777" w:rsidR="00E81C5C" w:rsidRPr="0087166C" w:rsidRDefault="00E81C5C" w:rsidP="009B73C3">
            <w:pPr>
              <w:pStyle w:val="ListParagraph"/>
              <w:numPr>
                <w:ilvl w:val="0"/>
                <w:numId w:val="12"/>
              </w:numPr>
              <w:spacing w:before="120"/>
              <w:rPr>
                <w:rFonts w:eastAsia="Times"/>
              </w:rPr>
            </w:pPr>
            <w:r>
              <w:rPr>
                <w:rFonts w:eastAsia="Times"/>
              </w:rPr>
              <w:lastRenderedPageBreak/>
              <w:t>R</w:t>
            </w:r>
            <w:r w:rsidRPr="0087166C">
              <w:rPr>
                <w:rFonts w:eastAsia="Times"/>
              </w:rPr>
              <w:t>equires significant ongoing or long-term episodic support</w:t>
            </w:r>
          </w:p>
          <w:p w14:paraId="5AC363DE" w14:textId="77777777" w:rsidR="00E81C5C" w:rsidRPr="0087166C" w:rsidRDefault="00E81C5C" w:rsidP="009B73C3">
            <w:pPr>
              <w:pStyle w:val="ListParagraph"/>
              <w:numPr>
                <w:ilvl w:val="0"/>
                <w:numId w:val="12"/>
              </w:numPr>
              <w:spacing w:before="120"/>
              <w:rPr>
                <w:rFonts w:eastAsia="Times"/>
              </w:rPr>
            </w:pPr>
            <w:r w:rsidRPr="0087166C">
              <w:rPr>
                <w:rFonts w:eastAsia="Times"/>
              </w:rPr>
              <w:t>is not related to ageing</w:t>
            </w:r>
          </w:p>
        </w:tc>
        <w:tc>
          <w:tcPr>
            <w:tcW w:w="4508" w:type="dxa"/>
          </w:tcPr>
          <w:p w14:paraId="14DB23E0" w14:textId="77777777" w:rsidR="00E81C5C" w:rsidRPr="0037254C" w:rsidRDefault="00E81C5C" w:rsidP="009B73C3">
            <w:pPr>
              <w:numPr>
                <w:ilvl w:val="0"/>
                <w:numId w:val="11"/>
              </w:numPr>
              <w:spacing w:before="120"/>
              <w:ind w:left="201" w:hanging="201"/>
              <w:rPr>
                <w:rFonts w:eastAsia="Times"/>
              </w:rPr>
            </w:pPr>
            <w:r w:rsidRPr="0037254C">
              <w:rPr>
                <w:rFonts w:eastAsia="Times"/>
              </w:rPr>
              <w:lastRenderedPageBreak/>
              <w:t>Specialist Medical Reports</w:t>
            </w:r>
          </w:p>
          <w:p w14:paraId="35FC1541" w14:textId="77777777" w:rsidR="00E81C5C" w:rsidRPr="0037254C" w:rsidRDefault="00E81C5C" w:rsidP="009B73C3">
            <w:pPr>
              <w:numPr>
                <w:ilvl w:val="0"/>
                <w:numId w:val="11"/>
              </w:numPr>
              <w:spacing w:before="120"/>
              <w:ind w:left="201" w:hanging="201"/>
              <w:rPr>
                <w:rFonts w:eastAsia="Times"/>
              </w:rPr>
            </w:pPr>
            <w:r w:rsidRPr="0037254C">
              <w:rPr>
                <w:rFonts w:eastAsia="Times"/>
              </w:rPr>
              <w:t>Diagnostic Assessments</w:t>
            </w:r>
          </w:p>
          <w:p w14:paraId="22C82007" w14:textId="77777777" w:rsidR="00E81C5C" w:rsidRPr="0037254C" w:rsidRDefault="00E81C5C" w:rsidP="009B73C3">
            <w:pPr>
              <w:numPr>
                <w:ilvl w:val="0"/>
                <w:numId w:val="11"/>
              </w:numPr>
              <w:spacing w:before="120"/>
              <w:ind w:left="201" w:hanging="201"/>
              <w:rPr>
                <w:rFonts w:eastAsia="Times"/>
              </w:rPr>
            </w:pPr>
            <w:r w:rsidRPr="0037254C">
              <w:rPr>
                <w:rFonts w:eastAsia="Times"/>
              </w:rPr>
              <w:t>Neuropsychological Assessments.</w:t>
            </w:r>
          </w:p>
          <w:p w14:paraId="728175F8" w14:textId="77777777" w:rsidR="00E81C5C" w:rsidRPr="0037254C" w:rsidRDefault="00E81C5C" w:rsidP="009B73C3">
            <w:pPr>
              <w:numPr>
                <w:ilvl w:val="0"/>
                <w:numId w:val="11"/>
              </w:numPr>
              <w:spacing w:before="120"/>
              <w:ind w:left="201" w:hanging="201"/>
              <w:rPr>
                <w:rFonts w:eastAsia="Times"/>
              </w:rPr>
            </w:pPr>
            <w:r w:rsidRPr="0037254C">
              <w:rPr>
                <w:rFonts w:eastAsia="Times"/>
              </w:rPr>
              <w:t>Allied Health Reports</w:t>
            </w:r>
          </w:p>
          <w:p w14:paraId="6B97AB98" w14:textId="77777777" w:rsidR="00E81C5C" w:rsidRPr="00286541" w:rsidRDefault="00E81C5C" w:rsidP="009B73C3">
            <w:pPr>
              <w:numPr>
                <w:ilvl w:val="0"/>
                <w:numId w:val="11"/>
              </w:numPr>
              <w:spacing w:before="120"/>
              <w:ind w:left="201" w:hanging="201"/>
              <w:rPr>
                <w:rFonts w:eastAsia="Times"/>
              </w:rPr>
            </w:pPr>
            <w:r w:rsidRPr="0037254C">
              <w:rPr>
                <w:rFonts w:eastAsia="Times"/>
              </w:rPr>
              <w:lastRenderedPageBreak/>
              <w:t>Self-Report or Carers Observations</w:t>
            </w:r>
          </w:p>
        </w:tc>
      </w:tr>
    </w:tbl>
    <w:p w14:paraId="4C31AF0E" w14:textId="77777777" w:rsidR="00E81C5C" w:rsidRPr="009B7114" w:rsidRDefault="00E81C5C" w:rsidP="00E81C5C">
      <w:pPr>
        <w:pStyle w:val="Body"/>
      </w:pPr>
    </w:p>
    <w:p w14:paraId="29157EA9" w14:textId="77777777" w:rsidR="00E81C5C" w:rsidRPr="00E62B12" w:rsidRDefault="00E81C5C" w:rsidP="00E81C5C">
      <w:pPr>
        <w:pStyle w:val="Heading3"/>
        <w:rPr>
          <w:color w:val="0F243E" w:themeColor="text2" w:themeShade="80"/>
        </w:rPr>
      </w:pPr>
      <w:bookmarkStart w:id="8" w:name="_Toc205460173"/>
      <w:r>
        <w:rPr>
          <w:color w:val="0F243E" w:themeColor="text2" w:themeShade="80"/>
        </w:rPr>
        <w:t>6</w:t>
      </w:r>
      <w:r w:rsidRPr="00E62B12">
        <w:rPr>
          <w:color w:val="0F243E" w:themeColor="text2" w:themeShade="80"/>
        </w:rPr>
        <w:t xml:space="preserve">.2 Specific considerations </w:t>
      </w:r>
      <w:r>
        <w:rPr>
          <w:color w:val="0F243E" w:themeColor="text2" w:themeShade="80"/>
        </w:rPr>
        <w:t>when determining eligibility</w:t>
      </w:r>
      <w:bookmarkEnd w:id="8"/>
      <w:r w:rsidRPr="00E62B12">
        <w:rPr>
          <w:color w:val="0F243E" w:themeColor="text2" w:themeShade="80"/>
        </w:rPr>
        <w:t xml:space="preserve"> </w:t>
      </w:r>
    </w:p>
    <w:p w14:paraId="38A8D351" w14:textId="77777777" w:rsidR="00E81C5C" w:rsidRPr="00EA659C" w:rsidRDefault="00E81C5C" w:rsidP="00E81C5C">
      <w:pPr>
        <w:pStyle w:val="Body"/>
        <w:spacing w:before="120"/>
        <w:jc w:val="both"/>
      </w:pPr>
      <w:r>
        <w:t xml:space="preserve">When a person is referred to forensic disability services with a known or suspected circumstances such as a mental health condition, chronic health needs, substance use or age-related issues this must be considered when making decisions about a person having a disability. </w:t>
      </w:r>
      <w:r w:rsidRPr="00E67CEA">
        <w:rPr>
          <w:szCs w:val="21"/>
        </w:rPr>
        <w:t xml:space="preserve">Cognitive testing must </w:t>
      </w:r>
      <w:r>
        <w:rPr>
          <w:szCs w:val="21"/>
        </w:rPr>
        <w:t>endeavour</w:t>
      </w:r>
      <w:r w:rsidRPr="00E67CEA">
        <w:rPr>
          <w:szCs w:val="21"/>
        </w:rPr>
        <w:t xml:space="preserve"> to distinguish between the impact of the disability and </w:t>
      </w:r>
      <w:r>
        <w:rPr>
          <w:szCs w:val="21"/>
        </w:rPr>
        <w:t xml:space="preserve">any other </w:t>
      </w:r>
      <w:r w:rsidRPr="00E67CEA">
        <w:rPr>
          <w:szCs w:val="21"/>
        </w:rPr>
        <w:t>associated</w:t>
      </w:r>
      <w:r w:rsidRPr="00E67CEA" w:rsidDel="006036F3">
        <w:rPr>
          <w:szCs w:val="21"/>
        </w:rPr>
        <w:t xml:space="preserve"> </w:t>
      </w:r>
      <w:r>
        <w:rPr>
          <w:szCs w:val="21"/>
        </w:rPr>
        <w:t>condition/s. On these occasions, it</w:t>
      </w:r>
      <w:r w:rsidRPr="00E67CEA">
        <w:rPr>
          <w:szCs w:val="21"/>
        </w:rPr>
        <w:t xml:space="preserve"> is advisable to include at least one practitioner </w:t>
      </w:r>
      <w:r>
        <w:rPr>
          <w:szCs w:val="21"/>
        </w:rPr>
        <w:t>with expertise in the other areas of need during the assessment period.</w:t>
      </w:r>
    </w:p>
    <w:p w14:paraId="3FBF8D90" w14:textId="77777777" w:rsidR="00E81C5C" w:rsidRDefault="00E81C5C" w:rsidP="00E81C5C">
      <w:pPr>
        <w:pStyle w:val="Body"/>
        <w:spacing w:before="120"/>
        <w:jc w:val="both"/>
        <w:rPr>
          <w:szCs w:val="21"/>
        </w:rPr>
      </w:pPr>
      <w:r w:rsidRPr="00E67CEA">
        <w:rPr>
          <w:szCs w:val="21"/>
        </w:rPr>
        <w:t xml:space="preserve">Consideration should also be given to the timing of any testing and </w:t>
      </w:r>
      <w:r w:rsidRPr="00E67CEA" w:rsidDel="00C532F3">
        <w:rPr>
          <w:szCs w:val="21"/>
        </w:rPr>
        <w:t>decision</w:t>
      </w:r>
      <w:r>
        <w:rPr>
          <w:szCs w:val="21"/>
        </w:rPr>
        <w:t>-making</w:t>
      </w:r>
      <w:r w:rsidRPr="00E67CEA">
        <w:rPr>
          <w:szCs w:val="21"/>
        </w:rPr>
        <w:t xml:space="preserve">. Where a person is experiencing </w:t>
      </w:r>
      <w:r>
        <w:rPr>
          <w:szCs w:val="21"/>
        </w:rPr>
        <w:t>a</w:t>
      </w:r>
      <w:r w:rsidRPr="00E67CEA">
        <w:rPr>
          <w:szCs w:val="21"/>
        </w:rPr>
        <w:t xml:space="preserve"> mental health episode</w:t>
      </w:r>
      <w:r>
        <w:rPr>
          <w:szCs w:val="21"/>
        </w:rPr>
        <w:t xml:space="preserve"> or substance use relapse</w:t>
      </w:r>
      <w:r w:rsidRPr="00E67CEA">
        <w:rPr>
          <w:szCs w:val="21"/>
        </w:rPr>
        <w:t xml:space="preserve">, any decision should be delayed until this has stabilised. </w:t>
      </w:r>
    </w:p>
    <w:p w14:paraId="32A69D90" w14:textId="77777777" w:rsidR="00E81C5C" w:rsidRPr="00E62B12" w:rsidRDefault="00E81C5C" w:rsidP="00E81C5C">
      <w:pPr>
        <w:pStyle w:val="Heading3"/>
        <w:jc w:val="both"/>
        <w:rPr>
          <w:color w:val="0F243E" w:themeColor="text2" w:themeShade="80"/>
        </w:rPr>
      </w:pPr>
      <w:bookmarkStart w:id="9" w:name="_Toc205460174"/>
      <w:r>
        <w:rPr>
          <w:color w:val="0F243E" w:themeColor="text2" w:themeShade="80"/>
        </w:rPr>
        <w:t>6</w:t>
      </w:r>
      <w:r w:rsidRPr="00E62B12">
        <w:rPr>
          <w:color w:val="0F243E" w:themeColor="text2" w:themeShade="80"/>
        </w:rPr>
        <w:t>.3 Information gathering</w:t>
      </w:r>
      <w:bookmarkEnd w:id="9"/>
      <w:r w:rsidRPr="00E62B12">
        <w:rPr>
          <w:color w:val="0F243E" w:themeColor="text2" w:themeShade="80"/>
        </w:rPr>
        <w:t xml:space="preserve"> </w:t>
      </w:r>
    </w:p>
    <w:p w14:paraId="3CF76565" w14:textId="77777777" w:rsidR="00E81C5C" w:rsidRPr="002F718A" w:rsidRDefault="00E81C5C" w:rsidP="00E81C5C">
      <w:pPr>
        <w:pStyle w:val="Body"/>
        <w:spacing w:before="120"/>
        <w:jc w:val="both"/>
        <w:rPr>
          <w:szCs w:val="21"/>
        </w:rPr>
      </w:pPr>
      <w:r w:rsidRPr="002F718A">
        <w:rPr>
          <w:szCs w:val="21"/>
        </w:rPr>
        <w:t>Whe</w:t>
      </w:r>
      <w:r>
        <w:rPr>
          <w:szCs w:val="21"/>
        </w:rPr>
        <w:t>n</w:t>
      </w:r>
      <w:r w:rsidRPr="002F718A">
        <w:rPr>
          <w:szCs w:val="21"/>
        </w:rPr>
        <w:t xml:space="preserve"> a request for forensic disability </w:t>
      </w:r>
      <w:r>
        <w:rPr>
          <w:szCs w:val="21"/>
        </w:rPr>
        <w:t xml:space="preserve">services has been made, </w:t>
      </w:r>
      <w:r w:rsidRPr="002F718A">
        <w:rPr>
          <w:szCs w:val="21"/>
        </w:rPr>
        <w:t>information is gathered</w:t>
      </w:r>
      <w:r>
        <w:rPr>
          <w:szCs w:val="21"/>
        </w:rPr>
        <w:t>,</w:t>
      </w:r>
      <w:r w:rsidRPr="002F718A">
        <w:rPr>
          <w:szCs w:val="21"/>
        </w:rPr>
        <w:t xml:space="preserve"> </w:t>
      </w:r>
      <w:r>
        <w:rPr>
          <w:szCs w:val="21"/>
        </w:rPr>
        <w:t xml:space="preserve">with the persons consent (as required by section 50 of the Act), </w:t>
      </w:r>
      <w:r w:rsidRPr="002F718A">
        <w:rPr>
          <w:szCs w:val="21"/>
        </w:rPr>
        <w:t>to determine:</w:t>
      </w:r>
    </w:p>
    <w:p w14:paraId="79F9A37D" w14:textId="77777777" w:rsidR="00E81C5C" w:rsidRPr="00D41B47" w:rsidRDefault="00E81C5C" w:rsidP="00E81C5C">
      <w:pPr>
        <w:pStyle w:val="BulletPointList"/>
      </w:pPr>
      <w:r w:rsidRPr="00D41B47">
        <w:t xml:space="preserve">if </w:t>
      </w:r>
      <w:r>
        <w:t>the</w:t>
      </w:r>
      <w:r w:rsidRPr="00D41B47">
        <w:t xml:space="preserve"> person </w:t>
      </w:r>
      <w:r>
        <w:t xml:space="preserve">is eligible under the </w:t>
      </w:r>
      <w:r w:rsidRPr="009472C0">
        <w:rPr>
          <w:i/>
        </w:rPr>
        <w:t>Disability Act 2006</w:t>
      </w:r>
      <w:r w:rsidRPr="00D41B47">
        <w:t xml:space="preserve"> </w:t>
      </w:r>
    </w:p>
    <w:p w14:paraId="7901DD68" w14:textId="77777777" w:rsidR="00E81C5C" w:rsidRDefault="00E81C5C" w:rsidP="00E81C5C">
      <w:pPr>
        <w:pStyle w:val="BulletPointList"/>
      </w:pPr>
      <w:r w:rsidRPr="002F718A">
        <w:t xml:space="preserve">if the person has forensic needs or involvement with the criminal justice system </w:t>
      </w:r>
    </w:p>
    <w:p w14:paraId="5797C74E" w14:textId="77777777" w:rsidR="00E81C5C" w:rsidRPr="004B278C" w:rsidRDefault="00E81C5C" w:rsidP="00E81C5C">
      <w:pPr>
        <w:pStyle w:val="BulletPointList"/>
      </w:pPr>
      <w:r w:rsidRPr="004B278C">
        <w:t xml:space="preserve">the appropriateness of forensic disability </w:t>
      </w:r>
      <w:r>
        <w:t xml:space="preserve">services </w:t>
      </w:r>
      <w:r w:rsidRPr="004B278C">
        <w:t xml:space="preserve">to provide </w:t>
      </w:r>
      <w:r>
        <w:t xml:space="preserve">the </w:t>
      </w:r>
      <w:r w:rsidRPr="004B278C">
        <w:t>s</w:t>
      </w:r>
      <w:r>
        <w:t>ervices</w:t>
      </w:r>
    </w:p>
    <w:p w14:paraId="74C5E428" w14:textId="77777777" w:rsidR="00E81C5C" w:rsidRPr="002F718A" w:rsidRDefault="00E81C5C" w:rsidP="00E81C5C">
      <w:pPr>
        <w:pStyle w:val="BulletPointList"/>
      </w:pPr>
      <w:r w:rsidRPr="002F718A">
        <w:t xml:space="preserve">if </w:t>
      </w:r>
      <w:r>
        <w:t>the</w:t>
      </w:r>
      <w:r w:rsidRPr="002F718A">
        <w:t xml:space="preserve"> person is a priority for access to </w:t>
      </w:r>
      <w:r>
        <w:t>forensic disability s</w:t>
      </w:r>
      <w:r w:rsidRPr="002F718A">
        <w:t>ervices</w:t>
      </w:r>
      <w:r>
        <w:t xml:space="preserve"> (see Section 6).</w:t>
      </w:r>
    </w:p>
    <w:p w14:paraId="66CED727" w14:textId="77777777" w:rsidR="00E81C5C" w:rsidRPr="00E67CEA" w:rsidRDefault="00E81C5C" w:rsidP="00E81C5C">
      <w:pPr>
        <w:pStyle w:val="Body"/>
        <w:spacing w:before="120"/>
        <w:jc w:val="both"/>
      </w:pPr>
      <w:r>
        <w:t xml:space="preserve">After reviewing the information, the Secretary or their delegate, may decide that a formal assessment is required. If this is the confirmed course of action, the assessment must be commenced within 30 days of that decision. However, the assessment may be deferred for up to three months where there are reasonable grounds to believe that a formal assessment completed before then is unlikely to reliably establish whether the person has a disability, such as when a person is experiencing a mental health episode or substance use relapse. </w:t>
      </w:r>
    </w:p>
    <w:p w14:paraId="2820E07D" w14:textId="77777777" w:rsidR="00E81C5C" w:rsidRDefault="00E81C5C" w:rsidP="00E81C5C">
      <w:pPr>
        <w:pStyle w:val="Heading3"/>
        <w:rPr>
          <w:color w:val="0F243E" w:themeColor="text2" w:themeShade="80"/>
        </w:rPr>
      </w:pPr>
      <w:bookmarkStart w:id="10" w:name="_Toc205460175"/>
      <w:r w:rsidRPr="47E66581">
        <w:rPr>
          <w:color w:val="0F243E" w:themeColor="text2" w:themeShade="80"/>
        </w:rPr>
        <w:t>6.4 Outcomes of a request to Forensic Disability Services</w:t>
      </w:r>
      <w:bookmarkEnd w:id="10"/>
    </w:p>
    <w:p w14:paraId="1050F5C7" w14:textId="77777777" w:rsidR="00E81C5C" w:rsidRDefault="00E81C5C" w:rsidP="00E81C5C">
      <w:pPr>
        <w:pStyle w:val="Body"/>
      </w:pPr>
      <w:r>
        <w:t>Upon receipt of a referral, the</w:t>
      </w:r>
      <w:r w:rsidRPr="00E67CEA">
        <w:t xml:space="preserve"> Secretary</w:t>
      </w:r>
      <w:r>
        <w:t xml:space="preserve"> or delegate,</w:t>
      </w:r>
      <w:r w:rsidRPr="00E67CEA">
        <w:t xml:space="preserve"> </w:t>
      </w:r>
      <w:r>
        <w:t>can:</w:t>
      </w:r>
    </w:p>
    <w:p w14:paraId="0CF18905" w14:textId="77777777" w:rsidR="00E81C5C" w:rsidRDefault="00E81C5C" w:rsidP="00E81C5C">
      <w:pPr>
        <w:pStyle w:val="BulletPointList"/>
      </w:pPr>
      <w:r w:rsidRPr="00E67CEA">
        <w:t xml:space="preserve">either </w:t>
      </w:r>
      <w:r>
        <w:t>accept</w:t>
      </w:r>
      <w:r w:rsidRPr="00E67CEA">
        <w:t xml:space="preserve"> </w:t>
      </w:r>
      <w:r>
        <w:t xml:space="preserve">or refuse </w:t>
      </w:r>
      <w:r w:rsidRPr="00E67CEA">
        <w:t>the person</w:t>
      </w:r>
      <w:r>
        <w:t>’s</w:t>
      </w:r>
      <w:r w:rsidRPr="00E67CEA">
        <w:t xml:space="preserve"> </w:t>
      </w:r>
      <w:r>
        <w:t>request</w:t>
      </w:r>
      <w:r w:rsidRPr="00E67CEA">
        <w:t xml:space="preserve"> </w:t>
      </w:r>
      <w:r>
        <w:t xml:space="preserve">to forensic disability services. </w:t>
      </w:r>
    </w:p>
    <w:p w14:paraId="2922415C" w14:textId="77777777" w:rsidR="00E81C5C" w:rsidRPr="00736366" w:rsidRDefault="00E81C5C" w:rsidP="00E81C5C">
      <w:pPr>
        <w:pStyle w:val="BulletPointList"/>
      </w:pPr>
      <w:r>
        <w:t>Wi</w:t>
      </w:r>
      <w:r>
        <w:rPr>
          <w:szCs w:val="21"/>
        </w:rPr>
        <w:t xml:space="preserve">thin 14 days of making the determination, the Secretary must notify in writing to the person making the request and the </w:t>
      </w:r>
      <w:r w:rsidRPr="008A1E82">
        <w:rPr>
          <w:szCs w:val="21"/>
        </w:rPr>
        <w:t xml:space="preserve">person </w:t>
      </w:r>
      <w:r w:rsidRPr="00F8427A">
        <w:rPr>
          <w:szCs w:val="21"/>
        </w:rPr>
        <w:t xml:space="preserve">about </w:t>
      </w:r>
      <w:r w:rsidRPr="008A1E82">
        <w:rPr>
          <w:szCs w:val="21"/>
        </w:rPr>
        <w:t>whom</w:t>
      </w:r>
      <w:r>
        <w:rPr>
          <w:szCs w:val="21"/>
        </w:rPr>
        <w:t xml:space="preserve"> the request was made. </w:t>
      </w:r>
    </w:p>
    <w:p w14:paraId="22323746" w14:textId="77777777" w:rsidR="00E81C5C" w:rsidRPr="00635AAE" w:rsidRDefault="00E81C5C" w:rsidP="00E81C5C">
      <w:pPr>
        <w:pStyle w:val="BulletPointList"/>
      </w:pPr>
      <w:r>
        <w:rPr>
          <w:szCs w:val="21"/>
        </w:rPr>
        <w:t>This notice must also</w:t>
      </w:r>
      <w:r w:rsidRPr="00E67CEA">
        <w:rPr>
          <w:szCs w:val="21"/>
        </w:rPr>
        <w:t xml:space="preserve"> </w:t>
      </w:r>
      <w:r>
        <w:rPr>
          <w:szCs w:val="21"/>
        </w:rPr>
        <w:t xml:space="preserve">inform </w:t>
      </w:r>
      <w:r w:rsidRPr="00E67CEA">
        <w:rPr>
          <w:szCs w:val="21"/>
        </w:rPr>
        <w:t xml:space="preserve">the person </w:t>
      </w:r>
      <w:r>
        <w:rPr>
          <w:szCs w:val="21"/>
        </w:rPr>
        <w:t xml:space="preserve">that they </w:t>
      </w:r>
      <w:r w:rsidRPr="00E67CEA">
        <w:rPr>
          <w:szCs w:val="21"/>
        </w:rPr>
        <w:t>can apply to V</w:t>
      </w:r>
      <w:r>
        <w:rPr>
          <w:szCs w:val="21"/>
        </w:rPr>
        <w:t xml:space="preserve">ictorian </w:t>
      </w:r>
      <w:r w:rsidRPr="00E67CEA">
        <w:rPr>
          <w:szCs w:val="21"/>
        </w:rPr>
        <w:t>C</w:t>
      </w:r>
      <w:r>
        <w:rPr>
          <w:szCs w:val="21"/>
        </w:rPr>
        <w:t xml:space="preserve">ivil </w:t>
      </w:r>
      <w:r w:rsidRPr="00E67CEA">
        <w:rPr>
          <w:szCs w:val="21"/>
        </w:rPr>
        <w:t>A</w:t>
      </w:r>
      <w:r>
        <w:rPr>
          <w:szCs w:val="21"/>
        </w:rPr>
        <w:t xml:space="preserve">dministrative </w:t>
      </w:r>
      <w:r w:rsidRPr="00E67CEA">
        <w:rPr>
          <w:szCs w:val="21"/>
        </w:rPr>
        <w:t>T</w:t>
      </w:r>
      <w:r>
        <w:rPr>
          <w:szCs w:val="21"/>
        </w:rPr>
        <w:t>ribunal</w:t>
      </w:r>
      <w:r w:rsidRPr="00E67CEA">
        <w:rPr>
          <w:szCs w:val="21"/>
        </w:rPr>
        <w:t xml:space="preserve"> </w:t>
      </w:r>
      <w:r>
        <w:rPr>
          <w:szCs w:val="21"/>
        </w:rPr>
        <w:t>(</w:t>
      </w:r>
      <w:r w:rsidRPr="00E67CEA">
        <w:rPr>
          <w:szCs w:val="21"/>
        </w:rPr>
        <w:t>VCAT</w:t>
      </w:r>
      <w:r>
        <w:rPr>
          <w:szCs w:val="21"/>
        </w:rPr>
        <w:t>)</w:t>
      </w:r>
      <w:r w:rsidRPr="00E67CEA">
        <w:rPr>
          <w:szCs w:val="21"/>
        </w:rPr>
        <w:t xml:space="preserve"> for a review of the decision within 28 days. </w:t>
      </w:r>
    </w:p>
    <w:p w14:paraId="7B7F2B87" w14:textId="77777777" w:rsidR="00E81C5C" w:rsidRPr="00D03E59" w:rsidRDefault="00E81C5C" w:rsidP="00E81C5C">
      <w:pPr>
        <w:pStyle w:val="Heading4"/>
        <w:ind w:left="720"/>
        <w:jc w:val="both"/>
        <w:rPr>
          <w:b w:val="0"/>
          <w:bCs w:val="0"/>
        </w:rPr>
      </w:pPr>
      <w:bookmarkStart w:id="11" w:name="_Toc168403840"/>
      <w:bookmarkStart w:id="12" w:name="_Toc168404527"/>
      <w:bookmarkStart w:id="13" w:name="_Toc205460176"/>
      <w:r w:rsidRPr="00D03E59">
        <w:rPr>
          <w:b w:val="0"/>
          <w:bCs w:val="0"/>
        </w:rPr>
        <w:t xml:space="preserve">(a) </w:t>
      </w:r>
      <w:r w:rsidRPr="00D03E59">
        <w:rPr>
          <w:b w:val="0"/>
          <w:bCs w:val="0"/>
          <w:color w:val="0F243E" w:themeColor="text2" w:themeShade="80"/>
        </w:rPr>
        <w:t>Accept</w:t>
      </w:r>
      <w:r w:rsidRPr="00D03E59">
        <w:rPr>
          <w:b w:val="0"/>
          <w:bCs w:val="0"/>
        </w:rPr>
        <w:t xml:space="preserve"> the </w:t>
      </w:r>
      <w:bookmarkEnd w:id="11"/>
      <w:bookmarkEnd w:id="12"/>
      <w:r w:rsidRPr="00D03E59">
        <w:rPr>
          <w:b w:val="0"/>
          <w:bCs w:val="0"/>
        </w:rPr>
        <w:t>request</w:t>
      </w:r>
      <w:bookmarkEnd w:id="13"/>
    </w:p>
    <w:p w14:paraId="58B5D599" w14:textId="77777777" w:rsidR="00E81C5C" w:rsidRPr="00E67CEA" w:rsidRDefault="00E81C5C" w:rsidP="00E81C5C">
      <w:pPr>
        <w:pStyle w:val="Body"/>
        <w:spacing w:before="120"/>
        <w:jc w:val="both"/>
        <w:rPr>
          <w:szCs w:val="21"/>
        </w:rPr>
      </w:pPr>
      <w:r>
        <w:rPr>
          <w:szCs w:val="21"/>
        </w:rPr>
        <w:t xml:space="preserve">The Secretary may require a person to provide more information or </w:t>
      </w:r>
      <w:r w:rsidRPr="002D57CB">
        <w:rPr>
          <w:szCs w:val="21"/>
        </w:rPr>
        <w:t>undergo a target group assessment</w:t>
      </w:r>
      <w:r w:rsidRPr="009A0F96">
        <w:rPr>
          <w:szCs w:val="21"/>
        </w:rPr>
        <w:t xml:space="preserve"> to</w:t>
      </w:r>
      <w:r>
        <w:rPr>
          <w:szCs w:val="21"/>
        </w:rPr>
        <w:t xml:space="preserve"> determine whether the referral is to be accepted. A maximum of six weeks is allowed to complete this process. Accepting a request </w:t>
      </w:r>
      <w:r w:rsidRPr="00E67CEA">
        <w:rPr>
          <w:szCs w:val="21"/>
        </w:rPr>
        <w:t xml:space="preserve">does not mean the person will be able to access the requested </w:t>
      </w:r>
      <w:r>
        <w:rPr>
          <w:szCs w:val="21"/>
        </w:rPr>
        <w:t>forensic disability services program, as</w:t>
      </w:r>
      <w:r w:rsidRPr="00E67CEA">
        <w:rPr>
          <w:szCs w:val="21"/>
        </w:rPr>
        <w:t xml:space="preserve"> </w:t>
      </w:r>
      <w:r>
        <w:rPr>
          <w:szCs w:val="21"/>
        </w:rPr>
        <w:t xml:space="preserve">the person </w:t>
      </w:r>
      <w:r w:rsidRPr="00E67CEA">
        <w:rPr>
          <w:szCs w:val="21"/>
        </w:rPr>
        <w:t xml:space="preserve">must also meet the </w:t>
      </w:r>
      <w:r>
        <w:rPr>
          <w:szCs w:val="21"/>
        </w:rPr>
        <w:t xml:space="preserve">priority indicators and program specific criteria. </w:t>
      </w:r>
      <w:r w:rsidRPr="00E67CEA">
        <w:rPr>
          <w:szCs w:val="21"/>
        </w:rPr>
        <w:t xml:space="preserve"> </w:t>
      </w:r>
    </w:p>
    <w:p w14:paraId="52D03CA7" w14:textId="77777777" w:rsidR="00E81C5C" w:rsidRPr="00D03E59" w:rsidRDefault="00E81C5C" w:rsidP="00E81C5C">
      <w:pPr>
        <w:pStyle w:val="Heading4"/>
        <w:ind w:left="720"/>
        <w:jc w:val="both"/>
        <w:rPr>
          <w:b w:val="0"/>
          <w:bCs w:val="0"/>
        </w:rPr>
      </w:pPr>
      <w:bookmarkStart w:id="14" w:name="_Toc168403841"/>
      <w:bookmarkStart w:id="15" w:name="_Toc168404528"/>
      <w:bookmarkStart w:id="16" w:name="_Toc205460177"/>
      <w:r w:rsidRPr="00D03E59">
        <w:rPr>
          <w:b w:val="0"/>
          <w:bCs w:val="0"/>
        </w:rPr>
        <w:lastRenderedPageBreak/>
        <w:t xml:space="preserve">(b) </w:t>
      </w:r>
      <w:r w:rsidRPr="00D03E59">
        <w:rPr>
          <w:b w:val="0"/>
          <w:bCs w:val="0"/>
          <w:color w:val="0F243E" w:themeColor="text2" w:themeShade="80"/>
        </w:rPr>
        <w:t>Refuse</w:t>
      </w:r>
      <w:r w:rsidRPr="00D03E59">
        <w:rPr>
          <w:b w:val="0"/>
          <w:bCs w:val="0"/>
        </w:rPr>
        <w:t xml:space="preserve"> the request</w:t>
      </w:r>
      <w:bookmarkEnd w:id="16"/>
      <w:r w:rsidRPr="00D03E59">
        <w:rPr>
          <w:b w:val="0"/>
          <w:bCs w:val="0"/>
        </w:rPr>
        <w:t xml:space="preserve"> </w:t>
      </w:r>
      <w:bookmarkEnd w:id="14"/>
      <w:bookmarkEnd w:id="15"/>
    </w:p>
    <w:p w14:paraId="19B3A5FE" w14:textId="77777777" w:rsidR="00E81C5C" w:rsidRDefault="00E81C5C" w:rsidP="00E81C5C">
      <w:pPr>
        <w:pStyle w:val="Body"/>
        <w:spacing w:before="120"/>
        <w:jc w:val="both"/>
        <w:rPr>
          <w:szCs w:val="21"/>
        </w:rPr>
      </w:pPr>
      <w:r>
        <w:rPr>
          <w:szCs w:val="21"/>
        </w:rPr>
        <w:t xml:space="preserve">The Secretary may refuse the request, if so, the notification to the person must include the reasons for refusal. </w:t>
      </w:r>
      <w:r w:rsidRPr="00AD08A3">
        <w:rPr>
          <w:szCs w:val="21"/>
        </w:rPr>
        <w:t xml:space="preserve"> </w:t>
      </w:r>
    </w:p>
    <w:p w14:paraId="1BF3B427" w14:textId="77777777" w:rsidR="00E81C5C" w:rsidRPr="00E2664D" w:rsidRDefault="00E81C5C" w:rsidP="00E81C5C">
      <w:pPr>
        <w:pStyle w:val="Heading3"/>
      </w:pPr>
      <w:bookmarkStart w:id="17" w:name="_Toc205460178"/>
      <w:r>
        <w:t>6.5 Requesting a review of target group decision</w:t>
      </w:r>
      <w:bookmarkEnd w:id="17"/>
      <w:r>
        <w:t xml:space="preserve"> </w:t>
      </w:r>
    </w:p>
    <w:p w14:paraId="6F52FC74" w14:textId="77777777" w:rsidR="00E81C5C" w:rsidRPr="00943F51" w:rsidRDefault="00E81C5C" w:rsidP="00E81C5C">
      <w:pPr>
        <w:pStyle w:val="Body"/>
      </w:pPr>
      <w:r w:rsidRPr="00943F51">
        <w:t xml:space="preserve">Under section 50A </w:t>
      </w:r>
      <w:r>
        <w:t xml:space="preserve">in </w:t>
      </w:r>
      <w:r w:rsidRPr="00943F51">
        <w:t xml:space="preserve">the Act, a person can request a review by VCAT of the Secretary’s decision as to </w:t>
      </w:r>
      <w:r>
        <w:t>whether a person has a</w:t>
      </w:r>
      <w:r w:rsidRPr="00943F51">
        <w:t xml:space="preserve"> disability. </w:t>
      </w:r>
      <w:r>
        <w:t>If this review is to occur, the person</w:t>
      </w:r>
      <w:r w:rsidRPr="00F6532F">
        <w:t xml:space="preserve"> </w:t>
      </w:r>
      <w:r>
        <w:t xml:space="preserve">must apply to VCAT </w:t>
      </w:r>
      <w:r w:rsidRPr="00943F51">
        <w:t xml:space="preserve">within 28 days of the </w:t>
      </w:r>
      <w:r>
        <w:t xml:space="preserve">Secretary’s </w:t>
      </w:r>
      <w:r w:rsidRPr="00943F51">
        <w:t xml:space="preserve">communication </w:t>
      </w:r>
      <w:r>
        <w:t xml:space="preserve">of </w:t>
      </w:r>
      <w:r w:rsidRPr="00943F51">
        <w:t>the decision.</w:t>
      </w:r>
    </w:p>
    <w:p w14:paraId="5DABE87F" w14:textId="77777777" w:rsidR="00E81C5C" w:rsidRPr="00943F51" w:rsidRDefault="00E81C5C" w:rsidP="00E81C5C">
      <w:pPr>
        <w:pStyle w:val="Body"/>
      </w:pPr>
      <w:r w:rsidRPr="00943F51">
        <w:t xml:space="preserve">The Act states that on reviewing </w:t>
      </w:r>
      <w:r>
        <w:t>the</w:t>
      </w:r>
      <w:r w:rsidRPr="00943F51">
        <w:t xml:space="preserve"> decision</w:t>
      </w:r>
      <w:r>
        <w:t>,</w:t>
      </w:r>
      <w:r w:rsidRPr="00943F51">
        <w:t xml:space="preserve"> VCAT may: </w:t>
      </w:r>
    </w:p>
    <w:p w14:paraId="270341CE" w14:textId="77777777" w:rsidR="00E81C5C" w:rsidRPr="00943F51" w:rsidRDefault="00E81C5C" w:rsidP="00E81C5C">
      <w:pPr>
        <w:pStyle w:val="BulletPointList"/>
      </w:pPr>
      <w:r w:rsidRPr="00943F51">
        <w:t xml:space="preserve">confirm the decision of the Secretary </w:t>
      </w:r>
    </w:p>
    <w:p w14:paraId="4300445E" w14:textId="77777777" w:rsidR="00E81C5C" w:rsidRPr="00943F51" w:rsidRDefault="00E81C5C" w:rsidP="00E81C5C">
      <w:pPr>
        <w:pStyle w:val="BulletPointList"/>
      </w:pPr>
      <w:r w:rsidRPr="00943F51">
        <w:t xml:space="preserve">return the matter to the Secretary for further consideration </w:t>
      </w:r>
    </w:p>
    <w:p w14:paraId="7C4B9D64" w14:textId="77777777" w:rsidR="00E81C5C" w:rsidRDefault="00E81C5C" w:rsidP="00E81C5C">
      <w:pPr>
        <w:pStyle w:val="BulletPointList"/>
      </w:pPr>
      <w:r w:rsidRPr="00943F51">
        <w:t xml:space="preserve">make its own decision as to whether the person has a disability. </w:t>
      </w:r>
    </w:p>
    <w:p w14:paraId="7BE1FDF6" w14:textId="77777777" w:rsidR="00E81C5C" w:rsidRPr="00E67CEA" w:rsidRDefault="00E81C5C" w:rsidP="00E81C5C">
      <w:pPr>
        <w:pStyle w:val="Heading3"/>
      </w:pPr>
      <w:bookmarkStart w:id="18" w:name="_Toc205460179"/>
      <w:r w:rsidRPr="47E66581">
        <w:t>6.6 Statement of Intellectual Disability</w:t>
      </w:r>
      <w:bookmarkEnd w:id="18"/>
      <w:r w:rsidRPr="47E66581">
        <w:t xml:space="preserve"> </w:t>
      </w:r>
    </w:p>
    <w:p w14:paraId="27D8B14B" w14:textId="77777777" w:rsidR="00E81C5C" w:rsidRDefault="00E81C5C" w:rsidP="00E81C5C">
      <w:pPr>
        <w:pStyle w:val="Body"/>
        <w:spacing w:before="120"/>
        <w:jc w:val="both"/>
      </w:pPr>
      <w:r>
        <w:rPr>
          <w:szCs w:val="21"/>
        </w:rPr>
        <w:t>C</w:t>
      </w:r>
      <w:r w:rsidRPr="00E67CEA">
        <w:rPr>
          <w:szCs w:val="21"/>
        </w:rPr>
        <w:t>ourts or tribunals may seek clarification as to whether a person has an intellectual disability</w:t>
      </w:r>
      <w:r>
        <w:rPr>
          <w:szCs w:val="21"/>
        </w:rPr>
        <w:t xml:space="preserve"> at any time, not just during the referral process</w:t>
      </w:r>
      <w:r w:rsidRPr="00E67CEA">
        <w:rPr>
          <w:szCs w:val="21"/>
        </w:rPr>
        <w:t xml:space="preserve">. If the Secretary is satisfied that a person has an intellectual disability as defined under the Act, the Secretary may provide a written </w:t>
      </w:r>
      <w:r>
        <w:rPr>
          <w:szCs w:val="21"/>
        </w:rPr>
        <w:t>S</w:t>
      </w:r>
      <w:r w:rsidRPr="00E67CEA">
        <w:rPr>
          <w:szCs w:val="21"/>
        </w:rPr>
        <w:t xml:space="preserve">tatement of </w:t>
      </w:r>
      <w:r>
        <w:rPr>
          <w:szCs w:val="21"/>
        </w:rPr>
        <w:t>I</w:t>
      </w:r>
      <w:r w:rsidRPr="00E67CEA">
        <w:rPr>
          <w:szCs w:val="21"/>
        </w:rPr>
        <w:t xml:space="preserve">ntellectual </w:t>
      </w:r>
      <w:r>
        <w:rPr>
          <w:szCs w:val="21"/>
        </w:rPr>
        <w:t>D</w:t>
      </w:r>
      <w:r w:rsidRPr="00E67CEA">
        <w:rPr>
          <w:szCs w:val="21"/>
        </w:rPr>
        <w:t xml:space="preserve">isability. This is stated in </w:t>
      </w:r>
      <w:r>
        <w:rPr>
          <w:szCs w:val="21"/>
        </w:rPr>
        <w:t>s</w:t>
      </w:r>
      <w:r w:rsidRPr="00E67CEA">
        <w:rPr>
          <w:szCs w:val="21"/>
        </w:rPr>
        <w:t xml:space="preserve">ection 6 of the Act. </w:t>
      </w:r>
    </w:p>
    <w:p w14:paraId="3F164584" w14:textId="77777777" w:rsidR="00E81C5C" w:rsidRPr="00E62B12" w:rsidRDefault="00E81C5C" w:rsidP="00E81C5C">
      <w:pPr>
        <w:pStyle w:val="Heading2"/>
        <w:rPr>
          <w:color w:val="0F243E" w:themeColor="text2" w:themeShade="80"/>
        </w:rPr>
      </w:pPr>
      <w:bookmarkStart w:id="19" w:name="_Toc205460180"/>
      <w:r>
        <w:rPr>
          <w:color w:val="0F243E" w:themeColor="text2" w:themeShade="80"/>
        </w:rPr>
        <w:t>7</w:t>
      </w:r>
      <w:r w:rsidRPr="00E62B12">
        <w:rPr>
          <w:color w:val="0F243E" w:themeColor="text2" w:themeShade="80"/>
        </w:rPr>
        <w:t xml:space="preserve">. </w:t>
      </w:r>
      <w:r>
        <w:rPr>
          <w:color w:val="0F243E" w:themeColor="text2" w:themeShade="80"/>
        </w:rPr>
        <w:t>A</w:t>
      </w:r>
      <w:r w:rsidRPr="00E62B12">
        <w:rPr>
          <w:color w:val="0F243E" w:themeColor="text2" w:themeShade="80"/>
        </w:rPr>
        <w:t xml:space="preserve">ccess </w:t>
      </w:r>
      <w:r>
        <w:rPr>
          <w:color w:val="0F243E" w:themeColor="text2" w:themeShade="80"/>
        </w:rPr>
        <w:t>to Forensic Disability Services</w:t>
      </w:r>
      <w:bookmarkEnd w:id="19"/>
      <w:r>
        <w:rPr>
          <w:color w:val="0F243E" w:themeColor="text2" w:themeShade="80"/>
        </w:rPr>
        <w:t xml:space="preserve"> </w:t>
      </w:r>
    </w:p>
    <w:p w14:paraId="5475A66E" w14:textId="77777777" w:rsidR="00E81C5C" w:rsidRPr="008375BB" w:rsidRDefault="00E81C5C" w:rsidP="00E81C5C">
      <w:pPr>
        <w:pStyle w:val="Body"/>
      </w:pPr>
      <w:r>
        <w:rPr>
          <w:noProof/>
        </w:rPr>
        <w:drawing>
          <wp:inline distT="0" distB="0" distL="0" distR="0" wp14:anchorId="07C50C34" wp14:editId="5EA009C0">
            <wp:extent cx="5577730" cy="2307364"/>
            <wp:effectExtent l="0" t="0" r="4445" b="0"/>
            <wp:docPr id="1405097610" name="Picture 3" descr="Diagram that shows to be eligible for Forensic Disability Services, you must be eligible under the Act, meet criteria to access Forensic Disability Services and meet criteria to access specific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97610" name="Picture 3" descr="Diagram that shows to be eligible for Forensic Disability Services, you must be eligible under the Act, meet criteria to access Forensic Disability Services and meet criteria to access specific pro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526" cy="2313071"/>
                    </a:xfrm>
                    <a:prstGeom prst="rect">
                      <a:avLst/>
                    </a:prstGeom>
                    <a:noFill/>
                  </pic:spPr>
                </pic:pic>
              </a:graphicData>
            </a:graphic>
          </wp:inline>
        </w:drawing>
      </w:r>
    </w:p>
    <w:p w14:paraId="407E9CC2" w14:textId="77777777" w:rsidR="00E81C5C" w:rsidRDefault="00E81C5C" w:rsidP="00E81C5C">
      <w:pPr>
        <w:pStyle w:val="Body"/>
        <w:spacing w:before="120"/>
        <w:jc w:val="both"/>
      </w:pPr>
      <w:r>
        <w:t xml:space="preserve">Access to forensic disability services is managed through a coordinated process within the Department. After establishing eligibility under the Act, access to services is determined based on a set of priority indicators.  These priority indicators assess whether the person with a disability has a current need for service and if forensic disability services is best suited to meet that need. </w:t>
      </w:r>
    </w:p>
    <w:p w14:paraId="54508D4D" w14:textId="77777777" w:rsidR="00E81C5C" w:rsidRPr="003D4585" w:rsidRDefault="00E81C5C" w:rsidP="00E81C5C">
      <w:pPr>
        <w:pStyle w:val="Body"/>
        <w:spacing w:before="120"/>
        <w:jc w:val="both"/>
      </w:pPr>
      <w:r>
        <w:t xml:space="preserve">Clear information about the principles, indicators, program specific criteria and process for determining the priority of access to forensic disability services must be readily available in appropriate formats and languages. </w:t>
      </w:r>
    </w:p>
    <w:p w14:paraId="3149A01C" w14:textId="77777777" w:rsidR="00E81C5C" w:rsidRPr="00DC388B" w:rsidRDefault="00E81C5C" w:rsidP="00E81C5C">
      <w:pPr>
        <w:pStyle w:val="Body"/>
        <w:spacing w:before="120"/>
        <w:rPr>
          <w:color w:val="0F243E" w:themeColor="text2" w:themeShade="80"/>
          <w:sz w:val="28"/>
          <w:szCs w:val="28"/>
        </w:rPr>
      </w:pPr>
      <w:r w:rsidRPr="47E66581">
        <w:rPr>
          <w:color w:val="0F243E" w:themeColor="text2" w:themeShade="80"/>
          <w:sz w:val="28"/>
          <w:szCs w:val="28"/>
        </w:rPr>
        <w:t>7.1</w:t>
      </w:r>
      <w:r>
        <w:tab/>
      </w:r>
      <w:r w:rsidRPr="47E66581">
        <w:rPr>
          <w:color w:val="0F243E" w:themeColor="text2" w:themeShade="80"/>
          <w:sz w:val="28"/>
          <w:szCs w:val="28"/>
        </w:rPr>
        <w:t>Suitability of Service</w:t>
      </w:r>
    </w:p>
    <w:p w14:paraId="7090238B" w14:textId="77777777" w:rsidR="00E81C5C" w:rsidRDefault="00E81C5C" w:rsidP="00E81C5C">
      <w:pPr>
        <w:pStyle w:val="Body"/>
        <w:spacing w:before="120"/>
        <w:jc w:val="both"/>
      </w:pPr>
      <w:r>
        <w:t xml:space="preserve">Access to </w:t>
      </w:r>
      <w:r w:rsidDel="009E4A01">
        <w:t>f</w:t>
      </w:r>
      <w:r>
        <w:t xml:space="preserve">orensic disability services should only be provided if it is determined that the individual’s support needs are unable to be met outside of forensic disability services programs. </w:t>
      </w:r>
    </w:p>
    <w:p w14:paraId="2ACC4B5E" w14:textId="77777777" w:rsidR="00B54CFB" w:rsidRDefault="00B54CFB" w:rsidP="00E81C5C">
      <w:pPr>
        <w:pStyle w:val="Body"/>
        <w:spacing w:before="120"/>
        <w:jc w:val="both"/>
      </w:pPr>
    </w:p>
    <w:p w14:paraId="64B06F60" w14:textId="77777777" w:rsidR="00E81C5C" w:rsidRPr="00DC388B" w:rsidRDefault="00E81C5C" w:rsidP="00E81C5C">
      <w:pPr>
        <w:pStyle w:val="Body"/>
        <w:spacing w:before="120"/>
        <w:rPr>
          <w:color w:val="0F243E" w:themeColor="text2" w:themeShade="80"/>
          <w:sz w:val="28"/>
          <w:szCs w:val="28"/>
        </w:rPr>
      </w:pPr>
      <w:r w:rsidRPr="47E66581">
        <w:rPr>
          <w:color w:val="0F243E" w:themeColor="text2" w:themeShade="80"/>
          <w:sz w:val="28"/>
          <w:szCs w:val="28"/>
        </w:rPr>
        <w:lastRenderedPageBreak/>
        <w:t>7.2</w:t>
      </w:r>
      <w:r>
        <w:tab/>
      </w:r>
      <w:r w:rsidRPr="47E66581">
        <w:rPr>
          <w:color w:val="0F243E" w:themeColor="text2" w:themeShade="80"/>
          <w:sz w:val="28"/>
          <w:szCs w:val="28"/>
        </w:rPr>
        <w:t xml:space="preserve">Priority Indicators </w:t>
      </w:r>
      <w:r>
        <w:rPr>
          <w:color w:val="0F243E" w:themeColor="text2" w:themeShade="80"/>
          <w:sz w:val="28"/>
          <w:szCs w:val="28"/>
        </w:rPr>
        <w:t xml:space="preserve">for Access </w:t>
      </w:r>
    </w:p>
    <w:p w14:paraId="5FAD94A8" w14:textId="77777777" w:rsidR="00E81C5C" w:rsidRDefault="00E81C5C" w:rsidP="00E81C5C">
      <w:pPr>
        <w:pStyle w:val="Body"/>
        <w:spacing w:before="120"/>
        <w:jc w:val="both"/>
      </w:pPr>
      <w:r>
        <w:rPr>
          <w:szCs w:val="21"/>
        </w:rPr>
        <w:t>D</w:t>
      </w:r>
      <w:r w:rsidRPr="0056196E">
        <w:rPr>
          <w:szCs w:val="21"/>
        </w:rPr>
        <w:t xml:space="preserve">ecisions </w:t>
      </w:r>
      <w:r>
        <w:rPr>
          <w:szCs w:val="21"/>
        </w:rPr>
        <w:t xml:space="preserve">about allocating forensic disability services </w:t>
      </w:r>
      <w:r w:rsidRPr="00B51E29">
        <w:rPr>
          <w:rStyle w:val="CommentReference"/>
          <w:rFonts w:eastAsia="Times New Roman"/>
          <w:sz w:val="21"/>
          <w:szCs w:val="21"/>
        </w:rPr>
        <w:t>support</w:t>
      </w:r>
      <w:r>
        <w:rPr>
          <w:szCs w:val="21"/>
        </w:rPr>
        <w:t xml:space="preserve"> </w:t>
      </w:r>
      <w:r w:rsidRPr="0056196E">
        <w:rPr>
          <w:szCs w:val="21"/>
        </w:rPr>
        <w:t>will balance the needs of the person</w:t>
      </w:r>
      <w:r>
        <w:rPr>
          <w:szCs w:val="21"/>
        </w:rPr>
        <w:t xml:space="preserve"> with the demand for the service, and</w:t>
      </w:r>
      <w:r w:rsidRPr="0056196E">
        <w:rPr>
          <w:szCs w:val="21"/>
        </w:rPr>
        <w:t xml:space="preserve"> must be efficient, equitable and maximise options for </w:t>
      </w:r>
      <w:r>
        <w:rPr>
          <w:szCs w:val="21"/>
        </w:rPr>
        <w:t>the</w:t>
      </w:r>
      <w:r w:rsidRPr="002B24BE">
        <w:rPr>
          <w:szCs w:val="21"/>
        </w:rPr>
        <w:t xml:space="preserve"> </w:t>
      </w:r>
      <w:r>
        <w:rPr>
          <w:szCs w:val="21"/>
        </w:rPr>
        <w:t xml:space="preserve">person’s </w:t>
      </w:r>
      <w:r w:rsidRPr="0056196E">
        <w:rPr>
          <w:szCs w:val="21"/>
        </w:rPr>
        <w:t xml:space="preserve">independence and promote their </w:t>
      </w:r>
      <w:r>
        <w:rPr>
          <w:szCs w:val="21"/>
        </w:rPr>
        <w:t xml:space="preserve">safe </w:t>
      </w:r>
      <w:r w:rsidRPr="0056196E">
        <w:rPr>
          <w:szCs w:val="21"/>
        </w:rPr>
        <w:t xml:space="preserve">participation in the community. </w:t>
      </w:r>
    </w:p>
    <w:p w14:paraId="212CE89E" w14:textId="77777777" w:rsidR="00E81C5C" w:rsidRDefault="00E81C5C" w:rsidP="00E81C5C">
      <w:pPr>
        <w:pStyle w:val="Body"/>
        <w:spacing w:before="120"/>
        <w:jc w:val="both"/>
      </w:pPr>
      <w:r>
        <w:t>P</w:t>
      </w:r>
      <w:r w:rsidRPr="6D0B7055">
        <w:t>riority indicators for access to FDS:</w:t>
      </w:r>
    </w:p>
    <w:p w14:paraId="52E4CB57" w14:textId="77777777" w:rsidR="00E81C5C" w:rsidRDefault="00000000" w:rsidP="00E81C5C">
      <w:pPr>
        <w:pStyle w:val="Body"/>
        <w:spacing w:before="120"/>
        <w:jc w:val="both"/>
      </w:pPr>
      <w:r>
        <w:rPr>
          <w:noProof/>
        </w:rPr>
        <w:object w:dxaOrig="1440" w:dyaOrig="1440" w14:anchorId="2E610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This image highlights that some services within Forensic Disability are limited by legislation to people subject to specific orders, and/or have further eligibility criteria known as program-specific priority indicators" style="position:absolute;left:0;text-align:left;margin-left:40.15pt;margin-top:4.6pt;width:345.85pt;height:346.25pt;z-index:251658241">
            <v:imagedata r:id="rId18" o:title=""/>
            <w10:wrap type="square"/>
          </v:shape>
          <o:OLEObject Type="Embed" ProgID="Visio.Drawing.15" ShapeID="_x0000_s2050" DrawAspect="Content" ObjectID="_1816164025" r:id="rId19"/>
        </w:object>
      </w:r>
    </w:p>
    <w:p w14:paraId="2E59AF8F" w14:textId="77777777" w:rsidR="00E81C5C" w:rsidRDefault="00E81C5C" w:rsidP="00E81C5C">
      <w:pPr>
        <w:pStyle w:val="Body"/>
        <w:spacing w:before="120"/>
        <w:jc w:val="both"/>
      </w:pPr>
    </w:p>
    <w:p w14:paraId="41B0CA74" w14:textId="77777777" w:rsidR="00E81C5C" w:rsidRDefault="00E81C5C" w:rsidP="00E81C5C">
      <w:pPr>
        <w:pStyle w:val="Body"/>
        <w:spacing w:before="120"/>
        <w:jc w:val="both"/>
      </w:pPr>
    </w:p>
    <w:p w14:paraId="3653A540" w14:textId="77777777" w:rsidR="00E81C5C" w:rsidRDefault="00E81C5C" w:rsidP="00E81C5C">
      <w:pPr>
        <w:pStyle w:val="Body"/>
        <w:spacing w:before="120"/>
        <w:jc w:val="both"/>
      </w:pPr>
    </w:p>
    <w:p w14:paraId="41F74B50" w14:textId="77777777" w:rsidR="00E81C5C" w:rsidRDefault="00E81C5C" w:rsidP="00E81C5C">
      <w:pPr>
        <w:pStyle w:val="Body"/>
        <w:spacing w:before="120"/>
        <w:jc w:val="both"/>
      </w:pPr>
    </w:p>
    <w:p w14:paraId="47110558" w14:textId="77777777" w:rsidR="00E81C5C" w:rsidRDefault="00E81C5C" w:rsidP="00E81C5C">
      <w:pPr>
        <w:pStyle w:val="Body"/>
        <w:spacing w:before="120"/>
        <w:jc w:val="both"/>
      </w:pPr>
    </w:p>
    <w:p w14:paraId="7306CD2B" w14:textId="77777777" w:rsidR="00E81C5C" w:rsidRDefault="00E81C5C" w:rsidP="00E81C5C">
      <w:pPr>
        <w:pStyle w:val="Body"/>
        <w:spacing w:before="120"/>
        <w:jc w:val="both"/>
      </w:pPr>
    </w:p>
    <w:p w14:paraId="66F9E068" w14:textId="77777777" w:rsidR="00E81C5C" w:rsidRDefault="00E81C5C" w:rsidP="00E81C5C">
      <w:pPr>
        <w:pStyle w:val="Body"/>
        <w:spacing w:before="120"/>
        <w:jc w:val="both"/>
      </w:pPr>
    </w:p>
    <w:p w14:paraId="1B22E44E" w14:textId="77777777" w:rsidR="00E81C5C" w:rsidRDefault="00E81C5C" w:rsidP="00E81C5C">
      <w:pPr>
        <w:pStyle w:val="Body"/>
        <w:spacing w:before="120"/>
        <w:jc w:val="both"/>
      </w:pPr>
    </w:p>
    <w:p w14:paraId="249D34BE" w14:textId="77777777" w:rsidR="00E81C5C" w:rsidRDefault="00E81C5C" w:rsidP="00E81C5C">
      <w:pPr>
        <w:pStyle w:val="Body"/>
        <w:spacing w:before="120"/>
        <w:jc w:val="both"/>
      </w:pPr>
    </w:p>
    <w:p w14:paraId="3DFD1D8A" w14:textId="77777777" w:rsidR="00E81C5C" w:rsidRDefault="00E81C5C" w:rsidP="00E81C5C">
      <w:pPr>
        <w:pStyle w:val="Body"/>
        <w:spacing w:before="120"/>
        <w:jc w:val="both"/>
      </w:pPr>
    </w:p>
    <w:p w14:paraId="3262F9AC" w14:textId="77777777" w:rsidR="00E81C5C" w:rsidRDefault="00E81C5C" w:rsidP="00E81C5C">
      <w:pPr>
        <w:pStyle w:val="Body"/>
        <w:spacing w:before="120"/>
        <w:jc w:val="both"/>
      </w:pPr>
    </w:p>
    <w:p w14:paraId="1A10FA5A" w14:textId="77777777" w:rsidR="00E81C5C" w:rsidRDefault="00E81C5C" w:rsidP="00E81C5C">
      <w:pPr>
        <w:pStyle w:val="Body"/>
        <w:spacing w:before="120"/>
        <w:jc w:val="both"/>
      </w:pPr>
    </w:p>
    <w:p w14:paraId="18611162" w14:textId="77777777" w:rsidR="00E81C5C" w:rsidRDefault="00E81C5C" w:rsidP="00E81C5C">
      <w:pPr>
        <w:pStyle w:val="Body"/>
        <w:spacing w:before="120"/>
        <w:jc w:val="both"/>
      </w:pPr>
    </w:p>
    <w:p w14:paraId="5EE4A967" w14:textId="77777777" w:rsidR="00E81C5C" w:rsidRDefault="00E81C5C" w:rsidP="00E81C5C">
      <w:pPr>
        <w:pStyle w:val="Body"/>
        <w:spacing w:before="120"/>
        <w:jc w:val="both"/>
      </w:pPr>
    </w:p>
    <w:p w14:paraId="0543B53B" w14:textId="77777777" w:rsidR="00E81C5C" w:rsidRDefault="00E81C5C" w:rsidP="00E81C5C">
      <w:pPr>
        <w:pStyle w:val="Body"/>
        <w:spacing w:before="120"/>
        <w:jc w:val="both"/>
      </w:pPr>
    </w:p>
    <w:p w14:paraId="118C3FA0" w14:textId="77777777" w:rsidR="00E81C5C" w:rsidRDefault="00E81C5C" w:rsidP="00E81C5C">
      <w:pPr>
        <w:pStyle w:val="Body"/>
        <w:spacing w:before="120"/>
        <w:jc w:val="both"/>
      </w:pPr>
    </w:p>
    <w:p w14:paraId="4C719086" w14:textId="77777777" w:rsidR="00E81C5C" w:rsidRPr="00D87C0C" w:rsidRDefault="00E81C5C" w:rsidP="00E81C5C">
      <w:pPr>
        <w:pStyle w:val="Body"/>
        <w:spacing w:before="120"/>
        <w:jc w:val="both"/>
      </w:pPr>
    </w:p>
    <w:p w14:paraId="3BC255BF" w14:textId="77777777" w:rsidR="00E81C5C" w:rsidRPr="00E62B12" w:rsidRDefault="00E81C5C" w:rsidP="00E81C5C">
      <w:pPr>
        <w:pStyle w:val="Heading2"/>
        <w:rPr>
          <w:color w:val="0F243E" w:themeColor="text2" w:themeShade="80"/>
        </w:rPr>
      </w:pPr>
      <w:bookmarkStart w:id="20" w:name="_Toc205460181"/>
      <w:r>
        <w:rPr>
          <w:color w:val="0F243E" w:themeColor="text2" w:themeShade="80"/>
        </w:rPr>
        <w:t>8</w:t>
      </w:r>
      <w:r w:rsidRPr="00E62B12">
        <w:rPr>
          <w:color w:val="0F243E" w:themeColor="text2" w:themeShade="80"/>
        </w:rPr>
        <w:t xml:space="preserve">.Program Specific Priority </w:t>
      </w:r>
      <w:r>
        <w:rPr>
          <w:color w:val="0F243E" w:themeColor="text2" w:themeShade="80"/>
        </w:rPr>
        <w:t>Indicators</w:t>
      </w:r>
      <w:bookmarkEnd w:id="20"/>
    </w:p>
    <w:p w14:paraId="29605DE6" w14:textId="77777777" w:rsidR="00E81C5C" w:rsidRPr="008375BB" w:rsidRDefault="00E81C5C" w:rsidP="00E81C5C">
      <w:pPr>
        <w:pStyle w:val="Body"/>
      </w:pPr>
      <w:r>
        <w:rPr>
          <w:noProof/>
        </w:rPr>
        <w:drawing>
          <wp:inline distT="0" distB="0" distL="0" distR="0" wp14:anchorId="04B06FDE" wp14:editId="1B667C54">
            <wp:extent cx="6343692" cy="2624224"/>
            <wp:effectExtent l="0" t="0" r="0" b="0"/>
            <wp:docPr id="1557027000" name="Picture 4" descr="Diagram that shows to be eligible for Forensic Disability Services, you must be eligible under the Act, meet criteria to access Forensic Disability Services and meet criteria to access specific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27000" name="Picture 4" descr="Diagram that shows to be eligible for Forensic Disability Services, you must be eligible under the Act, meet criteria to access Forensic Disability Services and meet criteria to access specific pro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6219" cy="2625269"/>
                    </a:xfrm>
                    <a:prstGeom prst="rect">
                      <a:avLst/>
                    </a:prstGeom>
                    <a:noFill/>
                  </pic:spPr>
                </pic:pic>
              </a:graphicData>
            </a:graphic>
          </wp:inline>
        </w:drawing>
      </w:r>
    </w:p>
    <w:p w14:paraId="70FF0E67" w14:textId="77777777" w:rsidR="00E81C5C" w:rsidRPr="0056196E" w:rsidRDefault="00E81C5C" w:rsidP="00E81C5C">
      <w:pPr>
        <w:pStyle w:val="Body"/>
        <w:spacing w:before="120"/>
        <w:jc w:val="both"/>
        <w:rPr>
          <w:szCs w:val="21"/>
        </w:rPr>
      </w:pPr>
      <w:r w:rsidRPr="0056196E">
        <w:rPr>
          <w:szCs w:val="21"/>
        </w:rPr>
        <w:lastRenderedPageBreak/>
        <w:t xml:space="preserve">Some </w:t>
      </w:r>
      <w:r w:rsidRPr="00733EA7">
        <w:rPr>
          <w:szCs w:val="21"/>
        </w:rPr>
        <w:t xml:space="preserve">service offerings within </w:t>
      </w:r>
      <w:r w:rsidRPr="00333069">
        <w:rPr>
          <w:sz w:val="22"/>
          <w:szCs w:val="22"/>
        </w:rPr>
        <w:t xml:space="preserve">forensic disability services </w:t>
      </w:r>
      <w:r w:rsidRPr="00733EA7">
        <w:rPr>
          <w:szCs w:val="21"/>
        </w:rPr>
        <w:t xml:space="preserve">are limited by </w:t>
      </w:r>
      <w:r>
        <w:rPr>
          <w:szCs w:val="21"/>
        </w:rPr>
        <w:t>legislation</w:t>
      </w:r>
      <w:r w:rsidRPr="00733EA7">
        <w:rPr>
          <w:szCs w:val="21"/>
        </w:rPr>
        <w:t xml:space="preserve"> to people </w:t>
      </w:r>
      <w:r>
        <w:rPr>
          <w:szCs w:val="21"/>
        </w:rPr>
        <w:t xml:space="preserve">subject to specific orders. </w:t>
      </w:r>
      <w:r w:rsidRPr="00733EA7">
        <w:rPr>
          <w:szCs w:val="21"/>
        </w:rPr>
        <w:t>Similarly, certain services</w:t>
      </w:r>
      <w:r>
        <w:rPr>
          <w:szCs w:val="21"/>
        </w:rPr>
        <w:t xml:space="preserve"> within forensic disability</w:t>
      </w:r>
      <w:r w:rsidRPr="00733EA7">
        <w:rPr>
          <w:szCs w:val="21"/>
        </w:rPr>
        <w:t xml:space="preserve"> </w:t>
      </w:r>
      <w:r>
        <w:rPr>
          <w:szCs w:val="21"/>
        </w:rPr>
        <w:t xml:space="preserve">services </w:t>
      </w:r>
      <w:r w:rsidRPr="00733EA7">
        <w:rPr>
          <w:szCs w:val="21"/>
        </w:rPr>
        <w:t xml:space="preserve">have </w:t>
      </w:r>
      <w:r>
        <w:rPr>
          <w:szCs w:val="21"/>
        </w:rPr>
        <w:t>further</w:t>
      </w:r>
      <w:r w:rsidRPr="00733EA7">
        <w:rPr>
          <w:szCs w:val="21"/>
        </w:rPr>
        <w:t xml:space="preserve"> eligibility criteria</w:t>
      </w:r>
      <w:r>
        <w:rPr>
          <w:szCs w:val="21"/>
        </w:rPr>
        <w:t xml:space="preserve"> known as program-specific priority indicators.</w:t>
      </w:r>
      <w:r w:rsidRPr="00733EA7">
        <w:rPr>
          <w:szCs w:val="21"/>
        </w:rPr>
        <w:t xml:space="preserve"> </w:t>
      </w:r>
    </w:p>
    <w:p w14:paraId="03D87B0F" w14:textId="77777777" w:rsidR="00E81C5C" w:rsidRPr="00E62B12" w:rsidRDefault="00E81C5C" w:rsidP="00E81C5C">
      <w:pPr>
        <w:pStyle w:val="Heading3"/>
        <w:rPr>
          <w:color w:val="0F243E" w:themeColor="text2" w:themeShade="80"/>
        </w:rPr>
      </w:pPr>
      <w:bookmarkStart w:id="21" w:name="_Toc205460182"/>
      <w:r>
        <w:rPr>
          <w:color w:val="0F243E" w:themeColor="text2" w:themeShade="80"/>
        </w:rPr>
        <w:t>8</w:t>
      </w:r>
      <w:r w:rsidRPr="00E62B12">
        <w:rPr>
          <w:color w:val="0F243E" w:themeColor="text2" w:themeShade="80"/>
        </w:rPr>
        <w:t>.1 Priority</w:t>
      </w:r>
      <w:r>
        <w:rPr>
          <w:color w:val="0F243E" w:themeColor="text2" w:themeShade="80"/>
        </w:rPr>
        <w:t xml:space="preserve"> Indicators </w:t>
      </w:r>
      <w:r w:rsidRPr="00E62B12">
        <w:rPr>
          <w:color w:val="0F243E" w:themeColor="text2" w:themeShade="80"/>
        </w:rPr>
        <w:t>for Disability Justice Coordination</w:t>
      </w:r>
      <w:bookmarkEnd w:id="21"/>
      <w:r>
        <w:rPr>
          <w:color w:val="0F243E" w:themeColor="text2" w:themeShade="80"/>
        </w:rPr>
        <w:t xml:space="preserve"> </w:t>
      </w:r>
    </w:p>
    <w:p w14:paraId="22F5A8D2" w14:textId="77777777" w:rsidR="00E81C5C" w:rsidRDefault="00E81C5C" w:rsidP="00E81C5C">
      <w:pPr>
        <w:pStyle w:val="Body"/>
        <w:jc w:val="both"/>
      </w:pPr>
      <w:r>
        <w:t>The Disability Justice Coordination (DJC) service:</w:t>
      </w:r>
    </w:p>
    <w:p w14:paraId="455A46DF" w14:textId="77777777" w:rsidR="00E81C5C" w:rsidRDefault="00E81C5C" w:rsidP="00E81C5C">
      <w:pPr>
        <w:pStyle w:val="BulletPointList"/>
      </w:pPr>
      <w:r w:rsidRPr="00A154D4">
        <w:t xml:space="preserve">assesses and coordinates forensic disability supports based on </w:t>
      </w:r>
      <w:r>
        <w:t xml:space="preserve">the person’s </w:t>
      </w:r>
      <w:r w:rsidRPr="00A154D4">
        <w:t>needs, risks and goals</w:t>
      </w:r>
      <w:r>
        <w:t xml:space="preserve">. </w:t>
      </w:r>
    </w:p>
    <w:p w14:paraId="335DB6E6" w14:textId="77777777" w:rsidR="00E81C5C" w:rsidRDefault="00E81C5C" w:rsidP="00E81C5C">
      <w:pPr>
        <w:pStyle w:val="BulletPointList"/>
      </w:pPr>
      <w:r>
        <w:t xml:space="preserve">supports access to </w:t>
      </w:r>
      <w:r w:rsidRPr="00A154D4">
        <w:t>other support</w:t>
      </w:r>
      <w:r>
        <w:t xml:space="preserve"> </w:t>
      </w:r>
      <w:r w:rsidRPr="00A154D4">
        <w:t>s</w:t>
      </w:r>
      <w:r>
        <w:t>ervices</w:t>
      </w:r>
      <w:r w:rsidRPr="00A154D4">
        <w:t xml:space="preserve"> the</w:t>
      </w:r>
      <w:r>
        <w:t xml:space="preserve"> person</w:t>
      </w:r>
      <w:r w:rsidRPr="00A154D4">
        <w:t xml:space="preserve"> require</w:t>
      </w:r>
      <w:r>
        <w:t>s</w:t>
      </w:r>
      <w:r w:rsidRPr="00A154D4">
        <w:t xml:space="preserve">. </w:t>
      </w:r>
    </w:p>
    <w:p w14:paraId="2D3E5FE3" w14:textId="77777777" w:rsidR="00E81C5C" w:rsidRDefault="00E81C5C" w:rsidP="00E81C5C">
      <w:pPr>
        <w:pStyle w:val="BulletPointList"/>
      </w:pPr>
      <w:r>
        <w:t xml:space="preserve">provides information in an accessible format and </w:t>
      </w:r>
      <w:r w:rsidRPr="00A154D4">
        <w:t xml:space="preserve">supports </w:t>
      </w:r>
      <w:r>
        <w:t xml:space="preserve">the person with disability </w:t>
      </w:r>
      <w:r w:rsidRPr="00A154D4">
        <w:t xml:space="preserve">to understand the court process, conditions of bail, parole and/or </w:t>
      </w:r>
      <w:r>
        <w:t>other</w:t>
      </w:r>
      <w:r w:rsidRPr="00A154D4">
        <w:t xml:space="preserve"> order</w:t>
      </w:r>
      <w:r>
        <w:t xml:space="preserve">s. </w:t>
      </w:r>
    </w:p>
    <w:p w14:paraId="4CF14222" w14:textId="77777777" w:rsidR="00E81C5C" w:rsidRDefault="00E81C5C" w:rsidP="00E81C5C">
      <w:pPr>
        <w:pStyle w:val="BulletPointList"/>
      </w:pPr>
      <w:r w:rsidRPr="00A154D4">
        <w:t xml:space="preserve">coordinates access to interventions to reduce their risk of </w:t>
      </w:r>
      <w:r>
        <w:t>(</w:t>
      </w:r>
      <w:r w:rsidRPr="00A154D4">
        <w:t>re</w:t>
      </w:r>
      <w:r>
        <w:t>)</w:t>
      </w:r>
      <w:r w:rsidRPr="00A154D4">
        <w:t>offending and any behaviours of concern, improve their quality of life and support community safety. </w:t>
      </w:r>
    </w:p>
    <w:p w14:paraId="5E82F4CE" w14:textId="77777777" w:rsidR="00E81C5C" w:rsidRDefault="00E81C5C" w:rsidP="00E81C5C">
      <w:pPr>
        <w:pStyle w:val="Body"/>
        <w:jc w:val="both"/>
      </w:pPr>
      <w:r>
        <w:t>DJC program priority indicators for referrals include</w:t>
      </w:r>
      <w:r w:rsidRPr="005945CC">
        <w:t xml:space="preserve">: </w:t>
      </w:r>
    </w:p>
    <w:p w14:paraId="60F67699" w14:textId="77777777" w:rsidR="00E81C5C" w:rsidRPr="00BB4804" w:rsidRDefault="00E81C5C" w:rsidP="00E81C5C">
      <w:pPr>
        <w:pStyle w:val="BulletPointList"/>
      </w:pPr>
      <w:r>
        <w:t>a</w:t>
      </w:r>
      <w:r w:rsidRPr="00BB4804">
        <w:t xml:space="preserve"> Court has ordered the referral</w:t>
      </w:r>
      <w:r>
        <w:t>, such as through a Justice Plan</w:t>
      </w:r>
      <w:r w:rsidRPr="00BB4804">
        <w:t xml:space="preserve"> </w:t>
      </w:r>
    </w:p>
    <w:p w14:paraId="6A30BDC5" w14:textId="77777777" w:rsidR="00E81C5C" w:rsidRPr="00BB4804" w:rsidRDefault="00E81C5C" w:rsidP="00E81C5C">
      <w:pPr>
        <w:pStyle w:val="BulletPointList"/>
      </w:pPr>
      <w:r>
        <w:t>i</w:t>
      </w:r>
      <w:r w:rsidRPr="00BB4804">
        <w:t xml:space="preserve">f the person has complex support and service coordination needs and requires specialist support from DJC, where all other supports have not been able to meet the need/s of the person. </w:t>
      </w:r>
    </w:p>
    <w:p w14:paraId="6AED27DF" w14:textId="77777777" w:rsidR="00E81C5C" w:rsidRPr="00BB4804" w:rsidRDefault="00E81C5C" w:rsidP="00E81C5C">
      <w:pPr>
        <w:pStyle w:val="BulletPointList"/>
      </w:pPr>
      <w:r>
        <w:t>i</w:t>
      </w:r>
      <w:r w:rsidRPr="00BB4804">
        <w:t xml:space="preserve">f the person is engaging in high-risk offending behaviour and/or high-risk behaviours of concern that are placing them at significant risk of interaction with the criminal justice system. </w:t>
      </w:r>
    </w:p>
    <w:p w14:paraId="271F9923" w14:textId="77777777" w:rsidR="00E81C5C" w:rsidRDefault="00E81C5C" w:rsidP="00E81C5C">
      <w:pPr>
        <w:pStyle w:val="Heading3"/>
        <w:rPr>
          <w:color w:val="0F243E" w:themeColor="text2" w:themeShade="80"/>
        </w:rPr>
      </w:pPr>
      <w:bookmarkStart w:id="22" w:name="_Toc205460183"/>
      <w:r>
        <w:rPr>
          <w:color w:val="0F243E" w:themeColor="text2" w:themeShade="80"/>
        </w:rPr>
        <w:t>8</w:t>
      </w:r>
      <w:r w:rsidRPr="00E62B12">
        <w:rPr>
          <w:color w:val="0F243E" w:themeColor="text2" w:themeShade="80"/>
        </w:rPr>
        <w:t xml:space="preserve">.2 Priority </w:t>
      </w:r>
      <w:r>
        <w:rPr>
          <w:color w:val="0F243E" w:themeColor="text2" w:themeShade="80"/>
        </w:rPr>
        <w:t xml:space="preserve">Indicators </w:t>
      </w:r>
      <w:r w:rsidRPr="00E62B12">
        <w:rPr>
          <w:color w:val="0F243E" w:themeColor="text2" w:themeShade="80"/>
        </w:rPr>
        <w:t>for Forensic Disability Clinical Services</w:t>
      </w:r>
      <w:bookmarkEnd w:id="22"/>
    </w:p>
    <w:p w14:paraId="0242A8C3" w14:textId="77777777" w:rsidR="00E81C5C" w:rsidRDefault="00E81C5C" w:rsidP="00E81C5C">
      <w:pPr>
        <w:pStyle w:val="Body"/>
        <w:jc w:val="both"/>
      </w:pPr>
      <w:r w:rsidRPr="005D524A">
        <w:t>Th</w:t>
      </w:r>
      <w:r>
        <w:t>e Forensic Disability Clinical</w:t>
      </w:r>
      <w:r w:rsidRPr="005D524A">
        <w:t xml:space="preserve"> </w:t>
      </w:r>
      <w:r>
        <w:t>S</w:t>
      </w:r>
      <w:r w:rsidRPr="005D524A">
        <w:t>ervice</w:t>
      </w:r>
      <w:r>
        <w:t>s</w:t>
      </w:r>
      <w:r w:rsidRPr="005D524A">
        <w:t xml:space="preserve"> </w:t>
      </w:r>
      <w:r>
        <w:t xml:space="preserve">(FDCS) </w:t>
      </w:r>
      <w:r w:rsidRPr="005D524A">
        <w:t>provides offence-specific and offence-related treatment programs</w:t>
      </w:r>
      <w:r>
        <w:t xml:space="preserve"> that</w:t>
      </w:r>
    </w:p>
    <w:p w14:paraId="5250FA89" w14:textId="77777777" w:rsidR="00E81C5C" w:rsidRDefault="00E81C5C" w:rsidP="00E81C5C">
      <w:pPr>
        <w:pStyle w:val="BulletPointList"/>
      </w:pPr>
      <w:r>
        <w:t>are</w:t>
      </w:r>
      <w:r w:rsidRPr="005D524A">
        <w:t xml:space="preserve"> targeted to people with cognitive </w:t>
      </w:r>
      <w:r>
        <w:t xml:space="preserve">impairment </w:t>
      </w:r>
      <w:r w:rsidRPr="005D524A">
        <w:t xml:space="preserve">who would otherwise not be able to effectively engage in mainstream offender </w:t>
      </w:r>
      <w:r>
        <w:t xml:space="preserve">treatment and </w:t>
      </w:r>
      <w:r w:rsidRPr="005D524A">
        <w:t xml:space="preserve">rehabilitation services </w:t>
      </w:r>
    </w:p>
    <w:p w14:paraId="07A82E5F" w14:textId="77777777" w:rsidR="00E81C5C" w:rsidRPr="005D524A" w:rsidRDefault="00E81C5C" w:rsidP="00E81C5C">
      <w:pPr>
        <w:pStyle w:val="BulletPointList"/>
      </w:pPr>
      <w:r w:rsidRPr="005D524A">
        <w:t>address behaviour</w:t>
      </w:r>
      <w:r>
        <w:t>s</w:t>
      </w:r>
      <w:r w:rsidRPr="005D524A">
        <w:t xml:space="preserve"> of concern related to the</w:t>
      </w:r>
      <w:r>
        <w:t xml:space="preserve"> person’s</w:t>
      </w:r>
      <w:r w:rsidRPr="005D524A">
        <w:t xml:space="preserve"> disability </w:t>
      </w:r>
      <w:r>
        <w:t xml:space="preserve">and aim to </w:t>
      </w:r>
      <w:r w:rsidRPr="005D524A">
        <w:t>reduce their risk of offending  </w:t>
      </w:r>
    </w:p>
    <w:p w14:paraId="5A079966" w14:textId="77777777" w:rsidR="00E81C5C" w:rsidRDefault="00E81C5C" w:rsidP="00E81C5C">
      <w:pPr>
        <w:pStyle w:val="BulletPointList"/>
      </w:pPr>
      <w:r w:rsidRPr="005D524A">
        <w:t xml:space="preserve">are provided in forensic residential settings </w:t>
      </w:r>
      <w:r>
        <w:t>and in community-based settings</w:t>
      </w:r>
      <w:r w:rsidRPr="005D524A">
        <w:t xml:space="preserve"> </w:t>
      </w:r>
    </w:p>
    <w:p w14:paraId="7094C24E" w14:textId="77777777" w:rsidR="00E81C5C" w:rsidRDefault="00E81C5C" w:rsidP="00E81C5C">
      <w:pPr>
        <w:pStyle w:val="BulletPointList"/>
      </w:pPr>
      <w:r>
        <w:t xml:space="preserve">are provided </w:t>
      </w:r>
      <w:r w:rsidRPr="005D524A">
        <w:t>online or face-to-face.</w:t>
      </w:r>
    </w:p>
    <w:p w14:paraId="15EF2BE4" w14:textId="77777777" w:rsidR="00E81C5C" w:rsidRDefault="00E81C5C" w:rsidP="00E81C5C">
      <w:pPr>
        <w:pStyle w:val="Body"/>
        <w:jc w:val="both"/>
      </w:pPr>
      <w:r>
        <w:t>Priority indicators that will be considered when seeking services from Forensic Disability Clinical Services include:</w:t>
      </w:r>
    </w:p>
    <w:p w14:paraId="13737F8E" w14:textId="77777777" w:rsidR="00E81C5C" w:rsidRDefault="00E81C5C" w:rsidP="00E81C5C">
      <w:pPr>
        <w:pStyle w:val="BulletPointList"/>
      </w:pPr>
      <w:r>
        <w:t>requests directed or recommended by a court and/or Justice Plan</w:t>
      </w:r>
    </w:p>
    <w:p w14:paraId="50F12721" w14:textId="77777777" w:rsidR="00E81C5C" w:rsidRDefault="00E81C5C" w:rsidP="00E81C5C">
      <w:pPr>
        <w:pStyle w:val="BulletPointList"/>
      </w:pPr>
      <w:r>
        <w:t>requests for Residential Treatment Facility (RTF) eligibility assessments</w:t>
      </w:r>
    </w:p>
    <w:p w14:paraId="4E76EDD6" w14:textId="77777777" w:rsidR="00E81C5C" w:rsidRDefault="00E81C5C" w:rsidP="00E81C5C">
      <w:pPr>
        <w:pStyle w:val="BulletPointList"/>
      </w:pPr>
      <w:r>
        <w:t>requests for current RTF residents</w:t>
      </w:r>
    </w:p>
    <w:p w14:paraId="438F0435" w14:textId="77777777" w:rsidR="00E81C5C" w:rsidRDefault="00E81C5C" w:rsidP="00E81C5C">
      <w:pPr>
        <w:pStyle w:val="BulletPointList"/>
      </w:pPr>
      <w:r>
        <w:t>requests for current Specialist Forensic Disability Accommodation (SFDA) residents</w:t>
      </w:r>
    </w:p>
    <w:p w14:paraId="60A13A72" w14:textId="77777777" w:rsidR="00E81C5C" w:rsidRPr="00344CAD" w:rsidRDefault="00E81C5C" w:rsidP="00E81C5C">
      <w:pPr>
        <w:pStyle w:val="BulletPointList"/>
      </w:pPr>
      <w:r>
        <w:t>risk of offending and community safety.</w:t>
      </w:r>
    </w:p>
    <w:p w14:paraId="244C1569" w14:textId="77777777" w:rsidR="00E81C5C" w:rsidRPr="00E62B12" w:rsidRDefault="00E81C5C" w:rsidP="00E81C5C">
      <w:pPr>
        <w:pStyle w:val="Heading3"/>
        <w:rPr>
          <w:color w:val="0F243E" w:themeColor="text2" w:themeShade="80"/>
        </w:rPr>
      </w:pPr>
      <w:bookmarkStart w:id="23" w:name="_Toc205460184"/>
      <w:r>
        <w:rPr>
          <w:color w:val="0F243E" w:themeColor="text2" w:themeShade="80"/>
        </w:rPr>
        <w:t xml:space="preserve">8.3 </w:t>
      </w:r>
      <w:r w:rsidRPr="00E62B12">
        <w:rPr>
          <w:color w:val="0F243E" w:themeColor="text2" w:themeShade="80"/>
        </w:rPr>
        <w:t xml:space="preserve">Priority </w:t>
      </w:r>
      <w:r>
        <w:rPr>
          <w:color w:val="0F243E" w:themeColor="text2" w:themeShade="80"/>
        </w:rPr>
        <w:t xml:space="preserve">Indicators </w:t>
      </w:r>
      <w:r w:rsidRPr="00E62B12">
        <w:rPr>
          <w:color w:val="0F243E" w:themeColor="text2" w:themeShade="80"/>
        </w:rPr>
        <w:t>for Specialist Forensic Disability Accommodation</w:t>
      </w:r>
      <w:bookmarkEnd w:id="23"/>
      <w:r w:rsidRPr="00E62B12">
        <w:rPr>
          <w:color w:val="0F243E" w:themeColor="text2" w:themeShade="80"/>
        </w:rPr>
        <w:t xml:space="preserve"> </w:t>
      </w:r>
    </w:p>
    <w:p w14:paraId="15DE2980" w14:textId="77777777" w:rsidR="00E81C5C" w:rsidRDefault="00E81C5C" w:rsidP="00E81C5C">
      <w:pPr>
        <w:pStyle w:val="Body"/>
        <w:jc w:val="both"/>
      </w:pPr>
      <w:r>
        <w:t>Specialist</w:t>
      </w:r>
      <w:r w:rsidRPr="00154680">
        <w:t xml:space="preserve"> Forensic Disability Accommodation (SFDA) </w:t>
      </w:r>
      <w:r>
        <w:t xml:space="preserve">provides </w:t>
      </w:r>
      <w:r w:rsidRPr="00154680">
        <w:t xml:space="preserve">non-secure accommodation for people with forensic disability treatment and support needs who require a residential setting to reduce </w:t>
      </w:r>
      <w:r w:rsidRPr="00154680">
        <w:lastRenderedPageBreak/>
        <w:t xml:space="preserve">their behaviours of </w:t>
      </w:r>
      <w:r>
        <w:t>concern and/or</w:t>
      </w:r>
      <w:r w:rsidRPr="00154680">
        <w:t xml:space="preserve"> their risk of </w:t>
      </w:r>
      <w:r>
        <w:t>(re)</w:t>
      </w:r>
      <w:r w:rsidRPr="00154680">
        <w:t>offending</w:t>
      </w:r>
      <w:r>
        <w:t>. SFDA is delivered as a blended funding model with the NDIS.</w:t>
      </w:r>
    </w:p>
    <w:p w14:paraId="06EACA80" w14:textId="77777777" w:rsidR="00E81C5C" w:rsidRDefault="00E81C5C" w:rsidP="00E81C5C">
      <w:pPr>
        <w:pStyle w:val="Body"/>
        <w:jc w:val="both"/>
      </w:pPr>
      <w:r>
        <w:t xml:space="preserve">SFDA aims to </w:t>
      </w:r>
    </w:p>
    <w:p w14:paraId="78675069" w14:textId="77777777" w:rsidR="00E81C5C" w:rsidRDefault="00E81C5C" w:rsidP="00E81C5C">
      <w:pPr>
        <w:pStyle w:val="BulletPointList"/>
      </w:pPr>
      <w:r w:rsidRPr="00154680">
        <w:t>increase the</w:t>
      </w:r>
      <w:r>
        <w:t xml:space="preserve"> person’s</w:t>
      </w:r>
      <w:r w:rsidRPr="00154680">
        <w:t xml:space="preserve"> adaptive functioning skills and achieve personal goals</w:t>
      </w:r>
      <w:r>
        <w:t xml:space="preserve"> with clinical treatment provided through psychologists. </w:t>
      </w:r>
    </w:p>
    <w:p w14:paraId="2E84CA07" w14:textId="77777777" w:rsidR="00E81C5C" w:rsidRDefault="00E81C5C" w:rsidP="00E81C5C">
      <w:pPr>
        <w:pStyle w:val="BulletPointList"/>
      </w:pPr>
      <w:r w:rsidRPr="00AC2402">
        <w:t xml:space="preserve">provide a therapeutic environment, integrating forensic clinical </w:t>
      </w:r>
      <w:r>
        <w:t xml:space="preserve">intervention </w:t>
      </w:r>
      <w:r w:rsidRPr="00AC2402">
        <w:t>and</w:t>
      </w:r>
      <w:r>
        <w:t xml:space="preserve"> NDIS-funded</w:t>
      </w:r>
      <w:r w:rsidRPr="00AC2402">
        <w:t xml:space="preserve"> disability direct care supports, to support the achievement of beneficial treatment outcomes and goals.</w:t>
      </w:r>
    </w:p>
    <w:p w14:paraId="37472804" w14:textId="77777777" w:rsidR="00E81C5C" w:rsidRDefault="00E81C5C" w:rsidP="00E81C5C">
      <w:pPr>
        <w:pStyle w:val="BulletPointList"/>
      </w:pPr>
      <w:r>
        <w:t>stabilise the person’s living arrangements, develop independent living skills, support their treatment goals and prepare for transition to longer-term housing.</w:t>
      </w:r>
    </w:p>
    <w:p w14:paraId="3FD6E124" w14:textId="77777777" w:rsidR="00E81C5C" w:rsidRDefault="00E81C5C" w:rsidP="00E81C5C">
      <w:pPr>
        <w:pStyle w:val="Body"/>
        <w:jc w:val="both"/>
      </w:pPr>
      <w:r>
        <w:t>SFDA priority indicators include:</w:t>
      </w:r>
    </w:p>
    <w:p w14:paraId="31880B0E" w14:textId="77777777" w:rsidR="00E81C5C" w:rsidRDefault="00E81C5C" w:rsidP="00E81C5C">
      <w:pPr>
        <w:pStyle w:val="BulletPointList"/>
      </w:pPr>
      <w:r w:rsidRPr="00FA7D19">
        <w:t xml:space="preserve">at risk of remaining in a custodial or secure setting for longer than necessary and require SFDA to enable reintegration into the community. </w:t>
      </w:r>
    </w:p>
    <w:p w14:paraId="4B1CDDEB" w14:textId="77777777" w:rsidR="00E81C5C" w:rsidRDefault="00E81C5C" w:rsidP="00E81C5C">
      <w:pPr>
        <w:pStyle w:val="BulletPointList"/>
      </w:pPr>
      <w:r w:rsidRPr="00FA7D19">
        <w:t>currently in an accommodation option that significantly increases their risk of offending</w:t>
      </w:r>
      <w:r>
        <w:t xml:space="preserve"> or behaviour of concern</w:t>
      </w:r>
      <w:r w:rsidRPr="00FA7D19">
        <w:t xml:space="preserve">. </w:t>
      </w:r>
    </w:p>
    <w:p w14:paraId="2D7A654D" w14:textId="77777777" w:rsidR="00E81C5C" w:rsidRDefault="00E81C5C" w:rsidP="00E81C5C">
      <w:pPr>
        <w:pStyle w:val="BulletPointList"/>
      </w:pPr>
      <w:r w:rsidRPr="00FA7D19">
        <w:t xml:space="preserve">at risk of experiencing harm from other residents in current living arrangements, including family violence. </w:t>
      </w:r>
    </w:p>
    <w:p w14:paraId="4B8D0826" w14:textId="77777777" w:rsidR="00E81C5C" w:rsidRDefault="00E81C5C" w:rsidP="00E81C5C">
      <w:pPr>
        <w:pStyle w:val="BulletPointList"/>
      </w:pPr>
      <w:r w:rsidRPr="00FA7D19">
        <w:t>experiencing environmental instability</w:t>
      </w:r>
      <w:r>
        <w:t>, impeding</w:t>
      </w:r>
      <w:r w:rsidRPr="00FA7D19">
        <w:t xml:space="preserve"> their ability to engage in forensic disability support and treatment (this may include homelessness). </w:t>
      </w:r>
    </w:p>
    <w:p w14:paraId="7C7E7716" w14:textId="77777777" w:rsidR="00E81C5C" w:rsidRDefault="00E81C5C" w:rsidP="00E81C5C">
      <w:pPr>
        <w:pStyle w:val="BulletPointList"/>
      </w:pPr>
      <w:r w:rsidRPr="00FA7D19">
        <w:t xml:space="preserve">unable to access alternative accommodation options due to forensic disability support and treatment needs. </w:t>
      </w:r>
    </w:p>
    <w:p w14:paraId="1AAB8CAB" w14:textId="77777777" w:rsidR="00E81C5C" w:rsidRPr="00A610CE" w:rsidRDefault="00E81C5C" w:rsidP="00E81C5C">
      <w:pPr>
        <w:pStyle w:val="BulletPointList"/>
      </w:pPr>
      <w:r>
        <w:t>requiring</w:t>
      </w:r>
      <w:r w:rsidRPr="00A610CE">
        <w:t xml:space="preserve"> SFDA as a condition of an order under the </w:t>
      </w:r>
      <w:r w:rsidRPr="00CE699A">
        <w:rPr>
          <w:i/>
        </w:rPr>
        <w:t>Crimes (Mental Impairment and Unfitness to be Tried) Act 1997</w:t>
      </w:r>
      <w:r w:rsidRPr="00A610CE">
        <w:t xml:space="preserve"> (CMIA) and other community</w:t>
      </w:r>
      <w:r>
        <w:t>-based court</w:t>
      </w:r>
      <w:r w:rsidRPr="00A610CE">
        <w:t xml:space="preserve"> orders. </w:t>
      </w:r>
    </w:p>
    <w:p w14:paraId="42403165" w14:textId="77777777" w:rsidR="00E81C5C" w:rsidRPr="00A610CE" w:rsidRDefault="00E81C5C" w:rsidP="00E81C5C">
      <w:pPr>
        <w:pStyle w:val="BulletPointList"/>
      </w:pPr>
      <w:r w:rsidRPr="00A610CE">
        <w:t xml:space="preserve">stepping down from </w:t>
      </w:r>
      <w:r>
        <w:t xml:space="preserve">placement in a </w:t>
      </w:r>
      <w:r w:rsidRPr="00A610CE">
        <w:t>Residential Treatment Facilit</w:t>
      </w:r>
      <w:r>
        <w:t>y</w:t>
      </w:r>
      <w:r w:rsidRPr="00A610CE">
        <w:t xml:space="preserve">. </w:t>
      </w:r>
    </w:p>
    <w:p w14:paraId="33B3CF27" w14:textId="77777777" w:rsidR="00E81C5C" w:rsidRDefault="00E81C5C" w:rsidP="00E81C5C">
      <w:pPr>
        <w:pStyle w:val="BulletPointList"/>
      </w:pPr>
      <w:r>
        <w:t>in need of</w:t>
      </w:r>
      <w:r w:rsidRPr="00A610CE">
        <w:t xml:space="preserve"> full-time access to </w:t>
      </w:r>
      <w:r>
        <w:t>support</w:t>
      </w:r>
      <w:r w:rsidRPr="00A610CE">
        <w:t xml:space="preserve"> in </w:t>
      </w:r>
      <w:r>
        <w:t>an</w:t>
      </w:r>
      <w:r w:rsidRPr="00A610CE">
        <w:t xml:space="preserve"> accommodation </w:t>
      </w:r>
      <w:r>
        <w:t xml:space="preserve">setting </w:t>
      </w:r>
      <w:r w:rsidRPr="00A610CE">
        <w:t xml:space="preserve">because of forensic disability support and treatment needs. </w:t>
      </w:r>
    </w:p>
    <w:p w14:paraId="141ECE62" w14:textId="77777777" w:rsidR="00E81C5C" w:rsidRDefault="00E81C5C" w:rsidP="00E81C5C">
      <w:pPr>
        <w:pStyle w:val="BulletPointList"/>
      </w:pPr>
      <w:r>
        <w:t xml:space="preserve">disability support needs will be met and funded by their NDIS plan </w:t>
      </w:r>
    </w:p>
    <w:p w14:paraId="7CE03674" w14:textId="77777777" w:rsidR="00E81C5C" w:rsidRPr="00A610CE" w:rsidRDefault="00E81C5C" w:rsidP="00E81C5C">
      <w:pPr>
        <w:pStyle w:val="BulletPointList"/>
      </w:pPr>
      <w:r>
        <w:t>in</w:t>
      </w:r>
      <w:r w:rsidRPr="00A610CE">
        <w:t xml:space="preserve"> frequent contact with the criminal justice system. </w:t>
      </w:r>
    </w:p>
    <w:p w14:paraId="4095EA77" w14:textId="77777777" w:rsidR="00E81C5C" w:rsidRDefault="00E81C5C" w:rsidP="00E81C5C">
      <w:pPr>
        <w:pStyle w:val="Body"/>
        <w:jc w:val="both"/>
      </w:pPr>
      <w:r>
        <w:t>The progress of residents in SFDA is tracked and reviewed by the care team, who work collaboratively with the residents to facilitate their transition to less restrictive and more independent community living options.</w:t>
      </w:r>
    </w:p>
    <w:p w14:paraId="5250A77A" w14:textId="77777777" w:rsidR="00E81C5C" w:rsidRPr="00E62B12" w:rsidRDefault="00E81C5C" w:rsidP="00E81C5C">
      <w:pPr>
        <w:pStyle w:val="Heading3"/>
        <w:rPr>
          <w:color w:val="0F243E" w:themeColor="text2" w:themeShade="80"/>
        </w:rPr>
      </w:pPr>
      <w:bookmarkStart w:id="24" w:name="_Toc205460185"/>
      <w:r>
        <w:rPr>
          <w:color w:val="0F243E" w:themeColor="text2" w:themeShade="80"/>
        </w:rPr>
        <w:t>8</w:t>
      </w:r>
      <w:r w:rsidRPr="00E62B12">
        <w:rPr>
          <w:color w:val="0F243E" w:themeColor="text2" w:themeShade="80"/>
        </w:rPr>
        <w:t>.</w:t>
      </w:r>
      <w:r>
        <w:rPr>
          <w:color w:val="0F243E" w:themeColor="text2" w:themeShade="80"/>
        </w:rPr>
        <w:t>4</w:t>
      </w:r>
      <w:r w:rsidRPr="00E62B12">
        <w:rPr>
          <w:color w:val="0F243E" w:themeColor="text2" w:themeShade="80"/>
        </w:rPr>
        <w:t xml:space="preserve"> Priority </w:t>
      </w:r>
      <w:r>
        <w:rPr>
          <w:color w:val="0F243E" w:themeColor="text2" w:themeShade="80"/>
        </w:rPr>
        <w:t xml:space="preserve">Indicators </w:t>
      </w:r>
      <w:r w:rsidRPr="00E62B12">
        <w:rPr>
          <w:color w:val="0F243E" w:themeColor="text2" w:themeShade="80"/>
        </w:rPr>
        <w:t xml:space="preserve">for </w:t>
      </w:r>
      <w:r>
        <w:rPr>
          <w:color w:val="0F243E" w:themeColor="text2" w:themeShade="80"/>
        </w:rPr>
        <w:t xml:space="preserve">a </w:t>
      </w:r>
      <w:r w:rsidRPr="00E62B12">
        <w:rPr>
          <w:color w:val="0F243E" w:themeColor="text2" w:themeShade="80"/>
        </w:rPr>
        <w:t>Residential Treatment Facility (RTF)</w:t>
      </w:r>
      <w:bookmarkEnd w:id="24"/>
      <w:r>
        <w:rPr>
          <w:color w:val="0F243E" w:themeColor="text2" w:themeShade="80"/>
        </w:rPr>
        <w:t xml:space="preserve"> </w:t>
      </w:r>
    </w:p>
    <w:p w14:paraId="7B35E1C3" w14:textId="77777777" w:rsidR="00E81C5C" w:rsidRDefault="00E81C5C" w:rsidP="00E81C5C">
      <w:pPr>
        <w:pStyle w:val="Body"/>
        <w:jc w:val="both"/>
        <w:rPr>
          <w:szCs w:val="21"/>
        </w:rPr>
      </w:pPr>
      <w:r w:rsidRPr="00C60F5B">
        <w:rPr>
          <w:szCs w:val="21"/>
        </w:rPr>
        <w:t xml:space="preserve">Residential Treatment Facilities (RTF) are secure facilities where </w:t>
      </w:r>
      <w:r>
        <w:rPr>
          <w:szCs w:val="21"/>
        </w:rPr>
        <w:t>a</w:t>
      </w:r>
      <w:r w:rsidRPr="00C60F5B">
        <w:rPr>
          <w:szCs w:val="21"/>
        </w:rPr>
        <w:t xml:space="preserve"> </w:t>
      </w:r>
      <w:r>
        <w:rPr>
          <w:szCs w:val="21"/>
        </w:rPr>
        <w:t xml:space="preserve">person </w:t>
      </w:r>
      <w:r w:rsidRPr="00C60F5B">
        <w:rPr>
          <w:szCs w:val="21"/>
        </w:rPr>
        <w:t>receives intensive</w:t>
      </w:r>
      <w:r>
        <w:rPr>
          <w:szCs w:val="21"/>
        </w:rPr>
        <w:t xml:space="preserve"> </w:t>
      </w:r>
      <w:r w:rsidRPr="00C60F5B">
        <w:rPr>
          <w:szCs w:val="21"/>
        </w:rPr>
        <w:t>treatment</w:t>
      </w:r>
      <w:r>
        <w:rPr>
          <w:szCs w:val="21"/>
        </w:rPr>
        <w:t xml:space="preserve"> whilst residing in </w:t>
      </w:r>
      <w:r w:rsidRPr="00C60F5B">
        <w:rPr>
          <w:szCs w:val="21"/>
        </w:rPr>
        <w:t xml:space="preserve">the </w:t>
      </w:r>
      <w:r>
        <w:rPr>
          <w:szCs w:val="21"/>
        </w:rPr>
        <w:t xml:space="preserve">facility due to </w:t>
      </w:r>
      <w:r w:rsidRPr="00C60F5B">
        <w:rPr>
          <w:szCs w:val="21"/>
        </w:rPr>
        <w:t xml:space="preserve">conditions of their court order. Operating under </w:t>
      </w:r>
      <w:r>
        <w:rPr>
          <w:szCs w:val="21"/>
        </w:rPr>
        <w:t>the Act</w:t>
      </w:r>
      <w:r w:rsidRPr="00C60F5B">
        <w:rPr>
          <w:szCs w:val="21"/>
        </w:rPr>
        <w:t>, these facilities provide therapeutic intervention programs, treatment, and skill development within a structured</w:t>
      </w:r>
      <w:r>
        <w:rPr>
          <w:szCs w:val="21"/>
        </w:rPr>
        <w:t xml:space="preserve"> and</w:t>
      </w:r>
      <w:r w:rsidRPr="00C60F5B">
        <w:rPr>
          <w:szCs w:val="21"/>
        </w:rPr>
        <w:t xml:space="preserve"> secure environment.</w:t>
      </w:r>
    </w:p>
    <w:p w14:paraId="5D22EC00" w14:textId="77777777" w:rsidR="00E81C5C" w:rsidRPr="00143433" w:rsidRDefault="00E81C5C" w:rsidP="00E81C5C">
      <w:pPr>
        <w:pStyle w:val="Body"/>
        <w:jc w:val="both"/>
        <w:rPr>
          <w:szCs w:val="21"/>
        </w:rPr>
      </w:pPr>
      <w:r>
        <w:rPr>
          <w:szCs w:val="21"/>
        </w:rPr>
        <w:t>Admission criteria for RTFs are legislated under section 152 of the Act, and require that:</w:t>
      </w:r>
    </w:p>
    <w:p w14:paraId="1FC4A713" w14:textId="77777777" w:rsidR="00E81C5C" w:rsidRPr="00143433" w:rsidRDefault="00E81C5C" w:rsidP="00E81C5C">
      <w:pPr>
        <w:pStyle w:val="BulletPointList"/>
      </w:pPr>
      <w:r>
        <w:t>t</w:t>
      </w:r>
      <w:r w:rsidRPr="00143433">
        <w:t xml:space="preserve">he person </w:t>
      </w:r>
      <w:r>
        <w:t>is an adult with</w:t>
      </w:r>
      <w:r w:rsidRPr="00143433">
        <w:t xml:space="preserve"> an intellectual disability</w:t>
      </w:r>
      <w:r>
        <w:t>; and</w:t>
      </w:r>
    </w:p>
    <w:p w14:paraId="564A4D08" w14:textId="77777777" w:rsidR="00E81C5C" w:rsidRPr="00143433" w:rsidRDefault="00E81C5C" w:rsidP="00E81C5C">
      <w:pPr>
        <w:pStyle w:val="BulletPointList"/>
      </w:pPr>
      <w:r>
        <w:t>t</w:t>
      </w:r>
      <w:r w:rsidRPr="00143433">
        <w:t>he person presents a serious risk of violence to another person</w:t>
      </w:r>
      <w:r>
        <w:t>; and</w:t>
      </w:r>
    </w:p>
    <w:p w14:paraId="7B7A1088" w14:textId="77777777" w:rsidR="00E81C5C" w:rsidRPr="00143433" w:rsidRDefault="00E81C5C" w:rsidP="00E81C5C">
      <w:pPr>
        <w:pStyle w:val="BulletPointList"/>
      </w:pPr>
      <w:r w:rsidRPr="00143433">
        <w:t>all less restrictive interventions have been tried or considered and are not suitable</w:t>
      </w:r>
      <w:r>
        <w:t>; and</w:t>
      </w:r>
    </w:p>
    <w:p w14:paraId="14D92F70" w14:textId="77777777" w:rsidR="00E81C5C" w:rsidRPr="00143433" w:rsidRDefault="00E81C5C" w:rsidP="00E81C5C">
      <w:pPr>
        <w:pStyle w:val="BulletPointList"/>
      </w:pPr>
      <w:r w:rsidRPr="00143433">
        <w:lastRenderedPageBreak/>
        <w:t xml:space="preserve">the </w:t>
      </w:r>
      <w:r>
        <w:t>RTF</w:t>
      </w:r>
      <w:r w:rsidRPr="00143433">
        <w:t xml:space="preserve"> can provide </w:t>
      </w:r>
      <w:r>
        <w:t>suitable treatment having regard to the person’s willingness to engage in and benefit from the treatment; and</w:t>
      </w:r>
    </w:p>
    <w:p w14:paraId="6AFDA33E" w14:textId="77777777" w:rsidR="00E81C5C" w:rsidRDefault="00E81C5C" w:rsidP="00E81C5C">
      <w:pPr>
        <w:pStyle w:val="BulletPointList"/>
      </w:pPr>
      <w:r>
        <w:t xml:space="preserve">the person can engage in the therapeutic environment at the RTF; and </w:t>
      </w:r>
    </w:p>
    <w:p w14:paraId="1F6C6D46" w14:textId="77777777" w:rsidR="00E81C5C" w:rsidRDefault="00E81C5C" w:rsidP="00E81C5C">
      <w:pPr>
        <w:pStyle w:val="BulletPointList"/>
      </w:pPr>
      <w:r>
        <w:t>admission is appropriate having regard to the level of vulnerability of the person, any risks they present to other residents of the facility and compatibility with other residents of the facility; and</w:t>
      </w:r>
    </w:p>
    <w:p w14:paraId="1DA8D1B3" w14:textId="77777777" w:rsidR="00E81C5C" w:rsidRPr="00143433" w:rsidRDefault="00E81C5C" w:rsidP="00E81C5C">
      <w:pPr>
        <w:pStyle w:val="BulletPointList"/>
      </w:pPr>
      <w:r>
        <w:t>the Secretary has arranged for the person to undergo an assessment; and</w:t>
      </w:r>
    </w:p>
    <w:p w14:paraId="70818D80" w14:textId="77777777" w:rsidR="00E81C5C" w:rsidRDefault="00E81C5C" w:rsidP="00E81C5C">
      <w:pPr>
        <w:pStyle w:val="BulletPointList"/>
      </w:pPr>
      <w:r>
        <w:t>the Victorian Senior Practitioner has been consulted; and</w:t>
      </w:r>
    </w:p>
    <w:p w14:paraId="351E60A9" w14:textId="77777777" w:rsidR="00E81C5C" w:rsidRPr="00143433" w:rsidRDefault="00E81C5C" w:rsidP="00E81C5C">
      <w:pPr>
        <w:pStyle w:val="BulletPointList"/>
      </w:pPr>
      <w:r>
        <w:t>the person is subject to one of the following orders, with the condition to reside at the RTF:</w:t>
      </w:r>
    </w:p>
    <w:p w14:paraId="696F024B" w14:textId="77777777" w:rsidR="00E81C5C" w:rsidRPr="00785E1C" w:rsidRDefault="00E81C5C" w:rsidP="009B73C3">
      <w:pPr>
        <w:pStyle w:val="Body"/>
        <w:numPr>
          <w:ilvl w:val="1"/>
          <w:numId w:val="9"/>
        </w:numPr>
        <w:jc w:val="both"/>
      </w:pPr>
      <w:r>
        <w:t xml:space="preserve">Residential Treatment Order under the </w:t>
      </w:r>
      <w:r w:rsidRPr="00974ACC">
        <w:rPr>
          <w:i/>
        </w:rPr>
        <w:t>Sentencing Act 1991</w:t>
      </w:r>
    </w:p>
    <w:p w14:paraId="62B7DB59" w14:textId="77777777" w:rsidR="00E81C5C" w:rsidRPr="005C2341" w:rsidRDefault="00E81C5C" w:rsidP="009B73C3">
      <w:pPr>
        <w:pStyle w:val="Body"/>
        <w:numPr>
          <w:ilvl w:val="1"/>
          <w:numId w:val="9"/>
        </w:numPr>
        <w:jc w:val="both"/>
      </w:pPr>
      <w:r>
        <w:t xml:space="preserve">Parole Order under the </w:t>
      </w:r>
      <w:r w:rsidRPr="002C0972">
        <w:rPr>
          <w:i/>
        </w:rPr>
        <w:t>Corrections Act 1986</w:t>
      </w:r>
    </w:p>
    <w:p w14:paraId="4266D8F2" w14:textId="77777777" w:rsidR="00E81C5C" w:rsidRPr="00143433" w:rsidRDefault="00E81C5C" w:rsidP="009B73C3">
      <w:pPr>
        <w:pStyle w:val="Body"/>
        <w:numPr>
          <w:ilvl w:val="1"/>
          <w:numId w:val="9"/>
        </w:numPr>
        <w:jc w:val="both"/>
      </w:pPr>
      <w:r>
        <w:t xml:space="preserve">Custodial Supervision Order </w:t>
      </w:r>
      <w:r w:rsidRPr="002A50CE">
        <w:t>under the</w:t>
      </w:r>
      <w:r>
        <w:rPr>
          <w:i/>
        </w:rPr>
        <w:t xml:space="preserve"> CMIA</w:t>
      </w:r>
    </w:p>
    <w:p w14:paraId="7E9DA02A" w14:textId="77777777" w:rsidR="00E81C5C" w:rsidRPr="00143433" w:rsidRDefault="00E81C5C" w:rsidP="009B73C3">
      <w:pPr>
        <w:pStyle w:val="Body"/>
        <w:numPr>
          <w:ilvl w:val="1"/>
          <w:numId w:val="9"/>
        </w:numPr>
        <w:jc w:val="both"/>
      </w:pPr>
      <w:r>
        <w:t>An O</w:t>
      </w:r>
      <w:r w:rsidRPr="00143433">
        <w:t xml:space="preserve">rder transferring the person from a prison under </w:t>
      </w:r>
      <w:r>
        <w:t>the</w:t>
      </w:r>
      <w:r w:rsidRPr="00143433">
        <w:t xml:space="preserve"> </w:t>
      </w:r>
      <w:r w:rsidRPr="002C0972">
        <w:rPr>
          <w:i/>
        </w:rPr>
        <w:t xml:space="preserve">Act </w:t>
      </w:r>
    </w:p>
    <w:p w14:paraId="00166CD0" w14:textId="77777777" w:rsidR="00E81C5C" w:rsidRPr="00A610CE" w:rsidRDefault="00E81C5C" w:rsidP="009B73C3">
      <w:pPr>
        <w:pStyle w:val="Body"/>
        <w:numPr>
          <w:ilvl w:val="1"/>
          <w:numId w:val="9"/>
        </w:numPr>
        <w:jc w:val="both"/>
        <w:rPr>
          <w:rFonts w:cs="Arial"/>
          <w:color w:val="000000"/>
          <w:lang w:eastAsia="en-AU"/>
        </w:rPr>
      </w:pPr>
      <w:r>
        <w:t>A S</w:t>
      </w:r>
      <w:r w:rsidRPr="002B24BE">
        <w:t xml:space="preserve">upervision </w:t>
      </w:r>
      <w:r>
        <w:t>O</w:t>
      </w:r>
      <w:r w:rsidRPr="002B24BE">
        <w:t xml:space="preserve">rder or </w:t>
      </w:r>
      <w:r>
        <w:t>I</w:t>
      </w:r>
      <w:r w:rsidRPr="002B24BE">
        <w:t xml:space="preserve">nterim </w:t>
      </w:r>
      <w:r>
        <w:t>S</w:t>
      </w:r>
      <w:r w:rsidRPr="002B24BE">
        <w:t xml:space="preserve">upervision </w:t>
      </w:r>
      <w:r>
        <w:t>O</w:t>
      </w:r>
      <w:r w:rsidRPr="002B24BE">
        <w:t xml:space="preserve">rder within the meaning of the </w:t>
      </w:r>
      <w:r w:rsidRPr="002C0972">
        <w:rPr>
          <w:i/>
        </w:rPr>
        <w:t>Serious Offenders Act 2018</w:t>
      </w:r>
      <w:r w:rsidRPr="002C0972">
        <w:rPr>
          <w:rFonts w:cs="Arial"/>
          <w:i/>
          <w:color w:val="000000"/>
          <w:lang w:eastAsia="en-AU"/>
        </w:rPr>
        <w:t>.</w:t>
      </w:r>
    </w:p>
    <w:p w14:paraId="77591D48" w14:textId="77777777" w:rsidR="00E81C5C" w:rsidRPr="00344CAD" w:rsidRDefault="00E81C5C" w:rsidP="00E81C5C">
      <w:pPr>
        <w:pStyle w:val="Body"/>
        <w:jc w:val="both"/>
        <w:rPr>
          <w:rFonts w:cs="Arial"/>
          <w:color w:val="000000"/>
          <w:lang w:eastAsia="en-AU"/>
        </w:rPr>
      </w:pPr>
      <w:r w:rsidRPr="32058589">
        <w:rPr>
          <w:rFonts w:cs="Arial"/>
          <w:color w:val="000000" w:themeColor="text1"/>
          <w:lang w:eastAsia="en-AU"/>
        </w:rPr>
        <w:t>In addition to the legislated requirements, RTF priority indicators include:</w:t>
      </w:r>
    </w:p>
    <w:p w14:paraId="30C55C6D" w14:textId="77777777" w:rsidR="00E81C5C" w:rsidRPr="00A37E47" w:rsidRDefault="00E81C5C" w:rsidP="00E81C5C">
      <w:pPr>
        <w:pStyle w:val="BulletPointList"/>
        <w:rPr>
          <w:lang w:eastAsia="en-AU"/>
        </w:rPr>
      </w:pPr>
      <w:r w:rsidRPr="40CFB272">
        <w:rPr>
          <w:lang w:eastAsia="en-AU"/>
        </w:rPr>
        <w:t xml:space="preserve">Where there is increased possibility of imprisonment for a person subject to or being considered for an </w:t>
      </w:r>
      <w:r>
        <w:rPr>
          <w:lang w:eastAsia="en-AU"/>
        </w:rPr>
        <w:t>O</w:t>
      </w:r>
      <w:r w:rsidRPr="40CFB272">
        <w:rPr>
          <w:lang w:eastAsia="en-AU"/>
        </w:rPr>
        <w:t xml:space="preserve">rder under </w:t>
      </w:r>
      <w:r>
        <w:rPr>
          <w:lang w:eastAsia="en-AU"/>
        </w:rPr>
        <w:t>the</w:t>
      </w:r>
      <w:r w:rsidRPr="40CFB272">
        <w:rPr>
          <w:lang w:eastAsia="en-AU"/>
        </w:rPr>
        <w:t xml:space="preserve"> CMIA, as this Act acknowledges prison </w:t>
      </w:r>
      <w:r>
        <w:rPr>
          <w:lang w:eastAsia="en-AU"/>
        </w:rPr>
        <w:t xml:space="preserve">is </w:t>
      </w:r>
      <w:r w:rsidRPr="40CFB272">
        <w:rPr>
          <w:lang w:eastAsia="en-AU"/>
        </w:rPr>
        <w:t xml:space="preserve">to be a last resort for people found either unfit to stand trial or not guilty of an offence on the grounds of mental impairment.  </w:t>
      </w:r>
    </w:p>
    <w:p w14:paraId="1E77A03C" w14:textId="77777777" w:rsidR="00E81C5C" w:rsidRPr="00E62B12" w:rsidRDefault="00E81C5C" w:rsidP="00E81C5C">
      <w:pPr>
        <w:pStyle w:val="Heading2"/>
        <w:rPr>
          <w:color w:val="0F243E" w:themeColor="text2" w:themeShade="80"/>
        </w:rPr>
      </w:pPr>
      <w:bookmarkStart w:id="25" w:name="_Toc205460186"/>
      <w:r>
        <w:rPr>
          <w:color w:val="0F243E" w:themeColor="text2" w:themeShade="80"/>
        </w:rPr>
        <w:t>9</w:t>
      </w:r>
      <w:r w:rsidRPr="00E62B12">
        <w:rPr>
          <w:color w:val="0F243E" w:themeColor="text2" w:themeShade="80"/>
        </w:rPr>
        <w:t>. Demand Management</w:t>
      </w:r>
      <w:bookmarkEnd w:id="25"/>
    </w:p>
    <w:p w14:paraId="6E4AE114" w14:textId="77777777" w:rsidR="00E81C5C" w:rsidRPr="00D6517C" w:rsidRDefault="00E81C5C" w:rsidP="00E81C5C">
      <w:pPr>
        <w:pStyle w:val="Body"/>
        <w:jc w:val="both"/>
      </w:pPr>
      <w:r>
        <w:t>Referrals to Forensic Disability Services will be actioned when it has been established that the person meets the eligibility requirements and satisfies the specific priority indicators. The length of time a person has been waiting for Forensic Disability Services is not a consideration for demand management.</w:t>
      </w:r>
    </w:p>
    <w:p w14:paraId="49A9C0D0" w14:textId="77777777" w:rsidR="00E81C5C" w:rsidRDefault="00E81C5C" w:rsidP="00E81C5C">
      <w:pPr>
        <w:pStyle w:val="Body"/>
        <w:jc w:val="both"/>
      </w:pPr>
      <w:r>
        <w:t>Forensic Disability Services programs are required to acknowledge and take necessary action within 14 days of receiving a referral. Capacity and demand of the programs will determine whether an immediate allocation is possible. The specific service must contact the person with disability regularly to keep them informed of the status of their referral and when supports can be expected. Any change in circumstances that increases the urgency of the referral should also be reported to the program area by the referrer or person seeking support</w:t>
      </w:r>
      <w:r w:rsidRPr="00344CAD">
        <w:t xml:space="preserve">. </w:t>
      </w:r>
    </w:p>
    <w:p w14:paraId="1056D1D8" w14:textId="77777777" w:rsidR="00E81C5C" w:rsidRDefault="00E81C5C" w:rsidP="00E81C5C">
      <w:pPr>
        <w:pStyle w:val="Heading2"/>
        <w:rPr>
          <w:color w:val="0F243E" w:themeColor="text2" w:themeShade="80"/>
        </w:rPr>
      </w:pPr>
      <w:bookmarkStart w:id="26" w:name="_Toc205460187"/>
      <w:r>
        <w:rPr>
          <w:color w:val="0F243E" w:themeColor="text2" w:themeShade="80"/>
        </w:rPr>
        <w:t>10</w:t>
      </w:r>
      <w:r w:rsidRPr="00E62B12">
        <w:rPr>
          <w:color w:val="0F243E" w:themeColor="text2" w:themeShade="80"/>
        </w:rPr>
        <w:t xml:space="preserve">. </w:t>
      </w:r>
      <w:r>
        <w:rPr>
          <w:color w:val="0F243E" w:themeColor="text2" w:themeShade="80"/>
        </w:rPr>
        <w:t>Register of Need</w:t>
      </w:r>
      <w:bookmarkEnd w:id="26"/>
    </w:p>
    <w:p w14:paraId="6DBCFC9F" w14:textId="77777777" w:rsidR="00E81C5C" w:rsidRDefault="00E81C5C" w:rsidP="00E81C5C">
      <w:pPr>
        <w:pStyle w:val="Body"/>
        <w:jc w:val="both"/>
      </w:pPr>
      <w:r>
        <w:t xml:space="preserve">The department directly delivers and funds the provision of forensic residential services. A register of eligible referrals will be maintained, known as the Register of Need. </w:t>
      </w:r>
    </w:p>
    <w:p w14:paraId="06343F99" w14:textId="77777777" w:rsidR="00E81C5C" w:rsidRDefault="00E81C5C" w:rsidP="00E81C5C">
      <w:pPr>
        <w:pStyle w:val="Body"/>
        <w:jc w:val="both"/>
      </w:pPr>
      <w:r>
        <w:t>The Register of Need is used to record a person’s current need for forensic residential services, against the residential services criteria.</w:t>
      </w:r>
      <w:r w:rsidDel="009E531E">
        <w:t xml:space="preserve"> </w:t>
      </w:r>
      <w:r>
        <w:t xml:space="preserve">It provides a clear and accurate record of the support required and enables the efficient identification of those in need so vacancies can be allocated in a fair, transparent, and efficient manner by matching a person’s current need against existing service profiles. </w:t>
      </w:r>
    </w:p>
    <w:p w14:paraId="1D789059" w14:textId="77777777" w:rsidR="00E81C5C" w:rsidRPr="00344CAD" w:rsidRDefault="00E81C5C" w:rsidP="00E81C5C">
      <w:pPr>
        <w:pStyle w:val="Body"/>
        <w:jc w:val="both"/>
      </w:pPr>
      <w:r>
        <w:lastRenderedPageBreak/>
        <w:t>To ensure requests remain relevant and actively reflect the person’s circumstances, referrals recorded on the register of need</w:t>
      </w:r>
      <w:r w:rsidRPr="00344CAD">
        <w:t xml:space="preserve"> must be reviewed </w:t>
      </w:r>
      <w:r>
        <w:t xml:space="preserve">regularly or </w:t>
      </w:r>
      <w:r w:rsidRPr="00344CAD">
        <w:t>when any of the following situations occur:</w:t>
      </w:r>
    </w:p>
    <w:p w14:paraId="35466FEA" w14:textId="77777777" w:rsidR="00E81C5C" w:rsidRPr="00344CAD" w:rsidRDefault="00E81C5C" w:rsidP="00E81C5C">
      <w:pPr>
        <w:pStyle w:val="BulletPointList"/>
      </w:pPr>
      <w:r w:rsidRPr="00344CAD">
        <w:t xml:space="preserve">The person advises that their support needs or circumstances have changed (including contact with </w:t>
      </w:r>
      <w:r>
        <w:t>the Department</w:t>
      </w:r>
      <w:r w:rsidRPr="00344CAD">
        <w:t xml:space="preserve"> by the person, their authori</w:t>
      </w:r>
      <w:r>
        <w:t>s</w:t>
      </w:r>
      <w:r w:rsidRPr="00344CAD">
        <w:t>ed representative, or their Disability Justice Coordinator)</w:t>
      </w:r>
    </w:p>
    <w:p w14:paraId="6A4025B8" w14:textId="77777777" w:rsidR="00E81C5C" w:rsidRDefault="00E81C5C" w:rsidP="00E81C5C">
      <w:pPr>
        <w:pStyle w:val="BulletPointList"/>
      </w:pPr>
      <w:r w:rsidRPr="00344CAD">
        <w:t>The person’s NDIS plan has been reviewed</w:t>
      </w:r>
    </w:p>
    <w:p w14:paraId="39F3E926" w14:textId="77777777" w:rsidR="00E81C5C" w:rsidRDefault="00E81C5C" w:rsidP="00E81C5C">
      <w:pPr>
        <w:pStyle w:val="BulletPointList"/>
      </w:pPr>
      <w:r>
        <w:t>A lapse of 6 months has occurred since a review of the person’s referral.</w:t>
      </w:r>
    </w:p>
    <w:p w14:paraId="5D442075" w14:textId="77777777" w:rsidR="00E81C5C" w:rsidRPr="00E62B12" w:rsidRDefault="00E81C5C" w:rsidP="00E81C5C">
      <w:pPr>
        <w:pStyle w:val="Heading2"/>
        <w:rPr>
          <w:color w:val="0F243E" w:themeColor="text2" w:themeShade="80"/>
        </w:rPr>
      </w:pPr>
      <w:bookmarkStart w:id="27" w:name="_Toc205460188"/>
      <w:r>
        <w:rPr>
          <w:color w:val="0F243E" w:themeColor="text2" w:themeShade="80"/>
        </w:rPr>
        <w:t>11</w:t>
      </w:r>
      <w:r w:rsidRPr="00E62B12">
        <w:rPr>
          <w:color w:val="0F243E" w:themeColor="text2" w:themeShade="80"/>
        </w:rPr>
        <w:t>. Vacancy Management</w:t>
      </w:r>
      <w:bookmarkEnd w:id="27"/>
      <w:r>
        <w:rPr>
          <w:color w:val="0F243E" w:themeColor="text2" w:themeShade="80"/>
        </w:rPr>
        <w:t xml:space="preserve"> </w:t>
      </w:r>
    </w:p>
    <w:p w14:paraId="199E178D" w14:textId="77777777" w:rsidR="00E81C5C" w:rsidRDefault="00E81C5C" w:rsidP="00E81C5C">
      <w:pPr>
        <w:pStyle w:val="Body"/>
        <w:jc w:val="both"/>
      </w:pPr>
      <w:r w:rsidRPr="00322A5A">
        <w:t xml:space="preserve">The providers of </w:t>
      </w:r>
      <w:r>
        <w:t>residential</w:t>
      </w:r>
      <w:r w:rsidRPr="00322A5A">
        <w:t xml:space="preserve"> services </w:t>
      </w:r>
      <w:r>
        <w:t>must</w:t>
      </w:r>
      <w:r w:rsidRPr="00322A5A">
        <w:t xml:space="preserve"> </w:t>
      </w:r>
      <w:r>
        <w:t xml:space="preserve">inform the Department </w:t>
      </w:r>
      <w:r w:rsidRPr="00322A5A">
        <w:t xml:space="preserve">about expected timelines for </w:t>
      </w:r>
      <w:r>
        <w:t>any</w:t>
      </w:r>
      <w:r w:rsidRPr="00322A5A">
        <w:t xml:space="preserve"> vacan</w:t>
      </w:r>
      <w:r>
        <w:t>cies</w:t>
      </w:r>
      <w:r w:rsidRPr="00322A5A">
        <w:t xml:space="preserve">, </w:t>
      </w:r>
      <w:r>
        <w:t>including</w:t>
      </w:r>
      <w:r w:rsidRPr="00322A5A">
        <w:t xml:space="preserve"> any changes or transition plans occurring</w:t>
      </w:r>
      <w:r w:rsidRPr="00344CAD">
        <w:t>.</w:t>
      </w:r>
      <w:r w:rsidRPr="00322A5A">
        <w:t xml:space="preserve"> </w:t>
      </w:r>
      <w:r>
        <w:t xml:space="preserve">When a resident has vacated their room and it becomes available, the vacancy is declared. </w:t>
      </w:r>
    </w:p>
    <w:p w14:paraId="60FA370A" w14:textId="77777777" w:rsidR="00E81C5C" w:rsidRDefault="00E81C5C" w:rsidP="00E81C5C">
      <w:pPr>
        <w:pStyle w:val="Body"/>
        <w:jc w:val="both"/>
      </w:pPr>
      <w:r>
        <w:t>When a vacancy is declared:</w:t>
      </w:r>
    </w:p>
    <w:p w14:paraId="7A1E6B06" w14:textId="77777777" w:rsidR="00E81C5C" w:rsidRDefault="00E81C5C" w:rsidP="00E81C5C">
      <w:pPr>
        <w:pStyle w:val="BulletPointList"/>
      </w:pPr>
      <w:r>
        <w:t>the Register of Need is consulted, and applications assessed against the house profile and current resident compatibility criteria, suitable applicants are shortlisted</w:t>
      </w:r>
    </w:p>
    <w:p w14:paraId="7BFCB0B3" w14:textId="77777777" w:rsidR="00E81C5C" w:rsidRDefault="00E81C5C" w:rsidP="00E81C5C">
      <w:pPr>
        <w:pStyle w:val="BulletPointList"/>
      </w:pPr>
      <w:r>
        <w:t xml:space="preserve">for RTF, an eligibility assessment will be undertaken by Forensic Disability Clinical Services </w:t>
      </w:r>
    </w:p>
    <w:p w14:paraId="2813B60B" w14:textId="77777777" w:rsidR="00E81C5C" w:rsidRDefault="00E81C5C" w:rsidP="00E81C5C">
      <w:pPr>
        <w:pStyle w:val="BulletPointList"/>
      </w:pPr>
      <w:r>
        <w:t>a vacancy meeting is convened to discuss shortlisted applicants and determine who is most suitable for the vacancy. The vacancy meeting requires a quorum to determine the suitable applicant.</w:t>
      </w:r>
    </w:p>
    <w:p w14:paraId="173B96F2" w14:textId="77777777" w:rsidR="00E81C5C" w:rsidRDefault="00E81C5C" w:rsidP="00E81C5C">
      <w:pPr>
        <w:pStyle w:val="Body"/>
        <w:jc w:val="both"/>
      </w:pPr>
      <w:r w:rsidRPr="003D697F">
        <w:t xml:space="preserve">After determining a suitable applicant, </w:t>
      </w:r>
      <w:r>
        <w:t xml:space="preserve">an </w:t>
      </w:r>
      <w:r w:rsidRPr="003D697F">
        <w:t xml:space="preserve">offer is </w:t>
      </w:r>
      <w:r>
        <w:t>made. On acceptance of</w:t>
      </w:r>
      <w:r w:rsidRPr="003D697F">
        <w:t xml:space="preserve"> the offer, transition planning will begin. The timeframe for the person to move into the property should not exceed 60 days from the acceptance of the offer.</w:t>
      </w:r>
      <w:r>
        <w:t xml:space="preserve"> If the offer is declined, the shortlist will be reconsidered through the vacancy meeting. </w:t>
      </w:r>
    </w:p>
    <w:p w14:paraId="641A784F" w14:textId="77777777" w:rsidR="00E81C5C" w:rsidRDefault="00E81C5C" w:rsidP="00E81C5C">
      <w:pPr>
        <w:spacing w:after="0" w:line="240" w:lineRule="auto"/>
        <w:rPr>
          <w:b/>
          <w:color w:val="0F243E" w:themeColor="text2" w:themeShade="80"/>
          <w:sz w:val="32"/>
          <w:szCs w:val="28"/>
        </w:rPr>
      </w:pPr>
      <w:r>
        <w:rPr>
          <w:color w:val="0F243E" w:themeColor="text2" w:themeShade="80"/>
        </w:rPr>
        <w:br w:type="page"/>
      </w:r>
    </w:p>
    <w:p w14:paraId="668669F4" w14:textId="77777777" w:rsidR="00E81C5C" w:rsidRPr="00CE699A" w:rsidRDefault="00E81C5C" w:rsidP="00E81C5C">
      <w:pPr>
        <w:pStyle w:val="Body"/>
        <w:rPr>
          <w:b/>
          <w:bCs/>
        </w:rPr>
      </w:pPr>
      <w:r w:rsidRPr="00CE699A">
        <w:rPr>
          <w:b/>
          <w:bCs/>
        </w:rPr>
        <w:lastRenderedPageBreak/>
        <w:t>Appendix 1: Acronyms</w:t>
      </w:r>
    </w:p>
    <w:p w14:paraId="4D9BAE20" w14:textId="77777777" w:rsidR="00E81C5C" w:rsidRPr="005640EE" w:rsidRDefault="00E81C5C" w:rsidP="00E81C5C">
      <w:pPr>
        <w:pStyle w:val="Body"/>
        <w:spacing w:after="0"/>
        <w:rPr>
          <w:szCs w:val="21"/>
        </w:rPr>
      </w:pPr>
    </w:p>
    <w:tbl>
      <w:tblPr>
        <w:tblStyle w:val="TableGrid"/>
        <w:tblW w:w="0" w:type="auto"/>
        <w:tblLook w:val="04A0" w:firstRow="1" w:lastRow="0" w:firstColumn="1" w:lastColumn="0" w:noHBand="0" w:noVBand="1"/>
      </w:tblPr>
      <w:tblGrid>
        <w:gridCol w:w="1271"/>
        <w:gridCol w:w="7745"/>
      </w:tblGrid>
      <w:tr w:rsidR="00E6061D" w:rsidRPr="00E6061D" w14:paraId="2D9C43EF" w14:textId="77777777" w:rsidTr="00E6061D">
        <w:tc>
          <w:tcPr>
            <w:tcW w:w="1271" w:type="dxa"/>
          </w:tcPr>
          <w:p w14:paraId="6873DE76" w14:textId="77777777" w:rsidR="00E81C5C" w:rsidRPr="00E6061D" w:rsidRDefault="00E81C5C">
            <w:pPr>
              <w:pStyle w:val="Body"/>
              <w:spacing w:after="0"/>
              <w:rPr>
                <w:b/>
                <w:bCs/>
                <w:szCs w:val="21"/>
              </w:rPr>
            </w:pPr>
            <w:r w:rsidRPr="00E6061D">
              <w:rPr>
                <w:b/>
                <w:bCs/>
                <w:szCs w:val="21"/>
              </w:rPr>
              <w:t>Acronym</w:t>
            </w:r>
          </w:p>
        </w:tc>
        <w:tc>
          <w:tcPr>
            <w:tcW w:w="7745" w:type="dxa"/>
          </w:tcPr>
          <w:p w14:paraId="402A30BB" w14:textId="77777777" w:rsidR="00E81C5C" w:rsidRPr="00E6061D" w:rsidRDefault="00E81C5C">
            <w:pPr>
              <w:pStyle w:val="Body"/>
              <w:spacing w:after="0"/>
              <w:rPr>
                <w:b/>
                <w:bCs/>
                <w:szCs w:val="21"/>
              </w:rPr>
            </w:pPr>
            <w:r w:rsidRPr="00E6061D">
              <w:rPr>
                <w:b/>
                <w:bCs/>
                <w:szCs w:val="21"/>
              </w:rPr>
              <w:t>Meaning:</w:t>
            </w:r>
          </w:p>
        </w:tc>
      </w:tr>
      <w:tr w:rsidR="00E81C5C" w14:paraId="57A5FA6E" w14:textId="77777777">
        <w:tc>
          <w:tcPr>
            <w:tcW w:w="1271" w:type="dxa"/>
          </w:tcPr>
          <w:p w14:paraId="5EE70509" w14:textId="77777777" w:rsidR="00E81C5C" w:rsidRDefault="00E81C5C">
            <w:pPr>
              <w:pStyle w:val="Body"/>
              <w:spacing w:after="0"/>
              <w:rPr>
                <w:szCs w:val="21"/>
              </w:rPr>
            </w:pPr>
            <w:r>
              <w:rPr>
                <w:szCs w:val="21"/>
              </w:rPr>
              <w:t>ABI</w:t>
            </w:r>
          </w:p>
        </w:tc>
        <w:tc>
          <w:tcPr>
            <w:tcW w:w="7745" w:type="dxa"/>
          </w:tcPr>
          <w:p w14:paraId="5FB9029C" w14:textId="77777777" w:rsidR="00E81C5C" w:rsidRDefault="00E81C5C">
            <w:pPr>
              <w:pStyle w:val="Body"/>
              <w:spacing w:after="0"/>
              <w:rPr>
                <w:szCs w:val="21"/>
              </w:rPr>
            </w:pPr>
            <w:r>
              <w:rPr>
                <w:szCs w:val="21"/>
              </w:rPr>
              <w:t>Acquired Brain Injury</w:t>
            </w:r>
          </w:p>
        </w:tc>
      </w:tr>
      <w:tr w:rsidR="00E81C5C" w14:paraId="63F71A2D" w14:textId="77777777">
        <w:tc>
          <w:tcPr>
            <w:tcW w:w="1271" w:type="dxa"/>
          </w:tcPr>
          <w:p w14:paraId="15852D0C" w14:textId="77777777" w:rsidR="00E81C5C" w:rsidRDefault="00E81C5C">
            <w:pPr>
              <w:pStyle w:val="Body"/>
              <w:spacing w:after="0"/>
              <w:rPr>
                <w:szCs w:val="21"/>
              </w:rPr>
            </w:pPr>
            <w:r>
              <w:rPr>
                <w:szCs w:val="21"/>
              </w:rPr>
              <w:t>ASD</w:t>
            </w:r>
          </w:p>
        </w:tc>
        <w:tc>
          <w:tcPr>
            <w:tcW w:w="7745" w:type="dxa"/>
          </w:tcPr>
          <w:p w14:paraId="311DEC18" w14:textId="77777777" w:rsidR="00E81C5C" w:rsidRDefault="00E81C5C">
            <w:pPr>
              <w:pStyle w:val="Body"/>
              <w:spacing w:after="0"/>
              <w:rPr>
                <w:szCs w:val="21"/>
              </w:rPr>
            </w:pPr>
            <w:r>
              <w:rPr>
                <w:szCs w:val="21"/>
              </w:rPr>
              <w:t>Autism Spectrum Disorder</w:t>
            </w:r>
          </w:p>
        </w:tc>
      </w:tr>
      <w:tr w:rsidR="00E81C5C" w14:paraId="7928A53D" w14:textId="77777777">
        <w:tc>
          <w:tcPr>
            <w:tcW w:w="1271" w:type="dxa"/>
          </w:tcPr>
          <w:p w14:paraId="19B418CD" w14:textId="77777777" w:rsidR="00E81C5C" w:rsidRDefault="00E81C5C">
            <w:pPr>
              <w:pStyle w:val="Body"/>
              <w:spacing w:after="0"/>
              <w:rPr>
                <w:szCs w:val="21"/>
              </w:rPr>
            </w:pPr>
            <w:r>
              <w:rPr>
                <w:szCs w:val="21"/>
              </w:rPr>
              <w:t xml:space="preserve">DFFH </w:t>
            </w:r>
          </w:p>
        </w:tc>
        <w:tc>
          <w:tcPr>
            <w:tcW w:w="7745" w:type="dxa"/>
          </w:tcPr>
          <w:p w14:paraId="2D282BE4" w14:textId="77777777" w:rsidR="00E81C5C" w:rsidRDefault="00E81C5C">
            <w:pPr>
              <w:pStyle w:val="Body"/>
              <w:spacing w:after="0"/>
              <w:rPr>
                <w:szCs w:val="21"/>
              </w:rPr>
            </w:pPr>
            <w:r>
              <w:rPr>
                <w:szCs w:val="21"/>
              </w:rPr>
              <w:t>Department of Families Fairness and Housing</w:t>
            </w:r>
          </w:p>
        </w:tc>
      </w:tr>
      <w:tr w:rsidR="00E81C5C" w14:paraId="230C7A12" w14:textId="77777777">
        <w:tc>
          <w:tcPr>
            <w:tcW w:w="1271" w:type="dxa"/>
          </w:tcPr>
          <w:p w14:paraId="27580614" w14:textId="77777777" w:rsidR="00E81C5C" w:rsidRDefault="00E81C5C">
            <w:pPr>
              <w:pStyle w:val="Body"/>
              <w:spacing w:after="0"/>
              <w:rPr>
                <w:szCs w:val="21"/>
              </w:rPr>
            </w:pPr>
            <w:r>
              <w:rPr>
                <w:szCs w:val="21"/>
              </w:rPr>
              <w:t>DJC</w:t>
            </w:r>
          </w:p>
        </w:tc>
        <w:tc>
          <w:tcPr>
            <w:tcW w:w="7745" w:type="dxa"/>
          </w:tcPr>
          <w:p w14:paraId="76EDFCE9" w14:textId="77777777" w:rsidR="00E81C5C" w:rsidRDefault="00E81C5C">
            <w:pPr>
              <w:pStyle w:val="Body"/>
              <w:spacing w:after="0"/>
              <w:rPr>
                <w:szCs w:val="21"/>
              </w:rPr>
            </w:pPr>
            <w:r>
              <w:rPr>
                <w:szCs w:val="21"/>
              </w:rPr>
              <w:t>Disability Justice Coordination</w:t>
            </w:r>
          </w:p>
        </w:tc>
      </w:tr>
      <w:tr w:rsidR="00E81C5C" w14:paraId="4D7E6257" w14:textId="77777777">
        <w:tc>
          <w:tcPr>
            <w:tcW w:w="1271" w:type="dxa"/>
          </w:tcPr>
          <w:p w14:paraId="30B3CF18" w14:textId="77777777" w:rsidR="00E81C5C" w:rsidRDefault="00E81C5C">
            <w:pPr>
              <w:pStyle w:val="Body"/>
              <w:spacing w:after="0"/>
              <w:rPr>
                <w:szCs w:val="21"/>
              </w:rPr>
            </w:pPr>
            <w:r>
              <w:rPr>
                <w:szCs w:val="21"/>
              </w:rPr>
              <w:t>FDS</w:t>
            </w:r>
          </w:p>
        </w:tc>
        <w:tc>
          <w:tcPr>
            <w:tcW w:w="7745" w:type="dxa"/>
          </w:tcPr>
          <w:p w14:paraId="7D1C9B4A" w14:textId="77777777" w:rsidR="00E81C5C" w:rsidRDefault="00E81C5C">
            <w:pPr>
              <w:pStyle w:val="Body"/>
              <w:spacing w:after="0"/>
              <w:rPr>
                <w:szCs w:val="21"/>
              </w:rPr>
            </w:pPr>
            <w:r>
              <w:rPr>
                <w:szCs w:val="21"/>
              </w:rPr>
              <w:t xml:space="preserve">Forensic Disability Services </w:t>
            </w:r>
          </w:p>
        </w:tc>
      </w:tr>
      <w:tr w:rsidR="00E81C5C" w14:paraId="0EE729C9" w14:textId="77777777">
        <w:tc>
          <w:tcPr>
            <w:tcW w:w="1271" w:type="dxa"/>
          </w:tcPr>
          <w:p w14:paraId="048F7236" w14:textId="77777777" w:rsidR="00E81C5C" w:rsidRDefault="00E81C5C">
            <w:pPr>
              <w:pStyle w:val="Body"/>
              <w:spacing w:after="0"/>
              <w:rPr>
                <w:szCs w:val="21"/>
              </w:rPr>
            </w:pPr>
            <w:r>
              <w:rPr>
                <w:szCs w:val="21"/>
              </w:rPr>
              <w:t>FDCS</w:t>
            </w:r>
          </w:p>
        </w:tc>
        <w:tc>
          <w:tcPr>
            <w:tcW w:w="7745" w:type="dxa"/>
          </w:tcPr>
          <w:p w14:paraId="0E1D237D" w14:textId="77777777" w:rsidR="00E81C5C" w:rsidRDefault="00E81C5C">
            <w:pPr>
              <w:pStyle w:val="Body"/>
              <w:spacing w:after="0"/>
              <w:rPr>
                <w:szCs w:val="21"/>
              </w:rPr>
            </w:pPr>
            <w:r>
              <w:rPr>
                <w:szCs w:val="21"/>
              </w:rPr>
              <w:t>Forensic Disability Clinical Services</w:t>
            </w:r>
          </w:p>
        </w:tc>
      </w:tr>
      <w:tr w:rsidR="00E81C5C" w14:paraId="3FE39B94" w14:textId="77777777">
        <w:tc>
          <w:tcPr>
            <w:tcW w:w="1271" w:type="dxa"/>
          </w:tcPr>
          <w:p w14:paraId="553AC069" w14:textId="77777777" w:rsidR="00E81C5C" w:rsidRDefault="00E81C5C">
            <w:pPr>
              <w:pStyle w:val="Body"/>
              <w:spacing w:after="0"/>
              <w:rPr>
                <w:szCs w:val="21"/>
              </w:rPr>
            </w:pPr>
            <w:r>
              <w:rPr>
                <w:szCs w:val="21"/>
              </w:rPr>
              <w:t>FRS</w:t>
            </w:r>
          </w:p>
        </w:tc>
        <w:tc>
          <w:tcPr>
            <w:tcW w:w="7745" w:type="dxa"/>
          </w:tcPr>
          <w:p w14:paraId="49F4656B" w14:textId="77777777" w:rsidR="00E81C5C" w:rsidRDefault="00E81C5C">
            <w:pPr>
              <w:pStyle w:val="Body"/>
              <w:spacing w:after="0"/>
              <w:rPr>
                <w:szCs w:val="21"/>
              </w:rPr>
            </w:pPr>
            <w:r>
              <w:rPr>
                <w:szCs w:val="21"/>
              </w:rPr>
              <w:t>Forensic Residential Services</w:t>
            </w:r>
          </w:p>
        </w:tc>
      </w:tr>
      <w:tr w:rsidR="00E81C5C" w14:paraId="02543373" w14:textId="77777777">
        <w:tc>
          <w:tcPr>
            <w:tcW w:w="1271" w:type="dxa"/>
          </w:tcPr>
          <w:p w14:paraId="19D45136" w14:textId="77777777" w:rsidR="00E81C5C" w:rsidRDefault="00E81C5C">
            <w:pPr>
              <w:pStyle w:val="Body"/>
              <w:spacing w:after="0"/>
              <w:rPr>
                <w:szCs w:val="21"/>
              </w:rPr>
            </w:pPr>
            <w:r>
              <w:rPr>
                <w:szCs w:val="21"/>
              </w:rPr>
              <w:t>ID</w:t>
            </w:r>
          </w:p>
        </w:tc>
        <w:tc>
          <w:tcPr>
            <w:tcW w:w="7745" w:type="dxa"/>
          </w:tcPr>
          <w:p w14:paraId="013C534C" w14:textId="77777777" w:rsidR="00E81C5C" w:rsidRDefault="00E81C5C">
            <w:pPr>
              <w:pStyle w:val="Body"/>
              <w:spacing w:after="0"/>
              <w:rPr>
                <w:szCs w:val="21"/>
              </w:rPr>
            </w:pPr>
            <w:r>
              <w:rPr>
                <w:szCs w:val="21"/>
              </w:rPr>
              <w:t xml:space="preserve">Intellectual Disability </w:t>
            </w:r>
          </w:p>
        </w:tc>
      </w:tr>
      <w:tr w:rsidR="00E81C5C" w14:paraId="13DA4A6C" w14:textId="77777777">
        <w:tc>
          <w:tcPr>
            <w:tcW w:w="1271" w:type="dxa"/>
          </w:tcPr>
          <w:p w14:paraId="73467607" w14:textId="77777777" w:rsidR="00E81C5C" w:rsidRDefault="00E81C5C">
            <w:pPr>
              <w:pStyle w:val="Body"/>
              <w:spacing w:after="0"/>
              <w:rPr>
                <w:szCs w:val="21"/>
              </w:rPr>
            </w:pPr>
            <w:r>
              <w:rPr>
                <w:szCs w:val="21"/>
              </w:rPr>
              <w:t>SFDA</w:t>
            </w:r>
          </w:p>
        </w:tc>
        <w:tc>
          <w:tcPr>
            <w:tcW w:w="7745" w:type="dxa"/>
          </w:tcPr>
          <w:p w14:paraId="712AD92B" w14:textId="77777777" w:rsidR="00E81C5C" w:rsidRDefault="00E81C5C">
            <w:pPr>
              <w:pStyle w:val="Body"/>
              <w:spacing w:after="0"/>
              <w:rPr>
                <w:szCs w:val="21"/>
              </w:rPr>
            </w:pPr>
            <w:r>
              <w:rPr>
                <w:szCs w:val="21"/>
              </w:rPr>
              <w:t>Specialist Forensic Disability Accommodation</w:t>
            </w:r>
          </w:p>
        </w:tc>
      </w:tr>
      <w:tr w:rsidR="00E81C5C" w14:paraId="1143E959" w14:textId="77777777">
        <w:tc>
          <w:tcPr>
            <w:tcW w:w="1271" w:type="dxa"/>
          </w:tcPr>
          <w:p w14:paraId="3865D831" w14:textId="77777777" w:rsidR="00E81C5C" w:rsidRDefault="00E81C5C">
            <w:pPr>
              <w:pStyle w:val="Body"/>
              <w:spacing w:after="0"/>
              <w:rPr>
                <w:szCs w:val="21"/>
              </w:rPr>
            </w:pPr>
            <w:r>
              <w:rPr>
                <w:szCs w:val="21"/>
              </w:rPr>
              <w:t xml:space="preserve">RTF </w:t>
            </w:r>
          </w:p>
        </w:tc>
        <w:tc>
          <w:tcPr>
            <w:tcW w:w="7745" w:type="dxa"/>
          </w:tcPr>
          <w:p w14:paraId="3623AA2A" w14:textId="77777777" w:rsidR="00E81C5C" w:rsidRDefault="00E81C5C">
            <w:pPr>
              <w:pStyle w:val="Body"/>
              <w:spacing w:after="0"/>
              <w:rPr>
                <w:szCs w:val="21"/>
              </w:rPr>
            </w:pPr>
            <w:r>
              <w:rPr>
                <w:szCs w:val="21"/>
              </w:rPr>
              <w:t>Residential Treatment Facility</w:t>
            </w:r>
          </w:p>
        </w:tc>
      </w:tr>
    </w:tbl>
    <w:p w14:paraId="755BB7DF" w14:textId="77777777" w:rsidR="00E81C5C" w:rsidRDefault="00E81C5C" w:rsidP="00E81C5C">
      <w:pPr>
        <w:pStyle w:val="Body"/>
        <w:spacing w:after="0"/>
        <w:rPr>
          <w:szCs w:val="21"/>
        </w:rPr>
      </w:pPr>
    </w:p>
    <w:p w14:paraId="5AA9DD39" w14:textId="77777777" w:rsidR="00E81C5C" w:rsidRPr="00CE699A" w:rsidRDefault="00E81C5C" w:rsidP="00E81C5C">
      <w:pPr>
        <w:spacing w:after="0" w:line="240" w:lineRule="auto"/>
        <w:rPr>
          <w:b/>
          <w:bCs/>
          <w:sz w:val="40"/>
          <w:szCs w:val="40"/>
        </w:rPr>
      </w:pPr>
      <w:r w:rsidRPr="00CE699A">
        <w:rPr>
          <w:b/>
          <w:bCs/>
        </w:rPr>
        <w:t>Appendix 2: Glossary of Terms</w:t>
      </w:r>
    </w:p>
    <w:p w14:paraId="4198AD3F" w14:textId="77777777" w:rsidR="00E81C5C" w:rsidRPr="008E07D6" w:rsidRDefault="00E81C5C" w:rsidP="00E81C5C">
      <w:pPr>
        <w:pStyle w:val="Body"/>
        <w:rPr>
          <w:rFonts w:eastAsia="MS Gothic" w:cs="Arial"/>
          <w:bCs/>
          <w:color w:val="201547"/>
          <w:kern w:val="32"/>
          <w:szCs w:val="21"/>
        </w:rPr>
      </w:pPr>
      <w:r>
        <w:rPr>
          <w:rFonts w:eastAsia="MS Gothic" w:cs="Arial"/>
          <w:bCs/>
          <w:color w:val="201547"/>
          <w:kern w:val="32"/>
          <w:szCs w:val="21"/>
        </w:rPr>
        <w:t xml:space="preserve"> </w:t>
      </w:r>
    </w:p>
    <w:tbl>
      <w:tblPr>
        <w:tblStyle w:val="TableGrid"/>
        <w:tblW w:w="0" w:type="auto"/>
        <w:tblLook w:val="04A0" w:firstRow="1" w:lastRow="0" w:firstColumn="1" w:lastColumn="0" w:noHBand="0" w:noVBand="1"/>
      </w:tblPr>
      <w:tblGrid>
        <w:gridCol w:w="2547"/>
        <w:gridCol w:w="6469"/>
      </w:tblGrid>
      <w:tr w:rsidR="00E6061D" w:rsidRPr="00E6061D" w14:paraId="72F0BE85" w14:textId="77777777" w:rsidTr="00E6061D">
        <w:tc>
          <w:tcPr>
            <w:tcW w:w="2547" w:type="dxa"/>
          </w:tcPr>
          <w:p w14:paraId="193B260D" w14:textId="77777777" w:rsidR="00E81C5C" w:rsidRPr="00E6061D" w:rsidRDefault="00E81C5C">
            <w:pPr>
              <w:spacing w:line="240" w:lineRule="auto"/>
              <w:rPr>
                <w:b/>
                <w:bCs/>
              </w:rPr>
            </w:pPr>
            <w:r w:rsidRPr="00E6061D">
              <w:rPr>
                <w:b/>
                <w:bCs/>
              </w:rPr>
              <w:t>The Department</w:t>
            </w:r>
          </w:p>
        </w:tc>
        <w:tc>
          <w:tcPr>
            <w:tcW w:w="6469" w:type="dxa"/>
          </w:tcPr>
          <w:p w14:paraId="0D2F843D" w14:textId="77777777" w:rsidR="00E81C5C" w:rsidRPr="00E6061D" w:rsidRDefault="00E81C5C">
            <w:pPr>
              <w:spacing w:line="240" w:lineRule="auto"/>
            </w:pPr>
            <w:r w:rsidRPr="00E6061D">
              <w:t xml:space="preserve">Refers exclusively to the Department of Families Fairness and Housing </w:t>
            </w:r>
          </w:p>
        </w:tc>
      </w:tr>
      <w:tr w:rsidR="00E6061D" w:rsidRPr="00E6061D" w14:paraId="6E299A2B" w14:textId="77777777" w:rsidTr="00E6061D">
        <w:tc>
          <w:tcPr>
            <w:tcW w:w="2547" w:type="dxa"/>
          </w:tcPr>
          <w:p w14:paraId="18C9F485" w14:textId="77777777" w:rsidR="00E81C5C" w:rsidRPr="00E6061D" w:rsidRDefault="00E81C5C">
            <w:pPr>
              <w:spacing w:line="240" w:lineRule="auto"/>
              <w:rPr>
                <w:b/>
                <w:bCs/>
              </w:rPr>
            </w:pPr>
            <w:r w:rsidRPr="00E6061D">
              <w:rPr>
                <w:b/>
                <w:bCs/>
              </w:rPr>
              <w:t>Forensic Disability Services</w:t>
            </w:r>
          </w:p>
        </w:tc>
        <w:tc>
          <w:tcPr>
            <w:tcW w:w="6469" w:type="dxa"/>
          </w:tcPr>
          <w:p w14:paraId="16B66411" w14:textId="77777777" w:rsidR="00E81C5C" w:rsidRPr="00E6061D" w:rsidRDefault="00E81C5C">
            <w:pPr>
              <w:spacing w:line="240" w:lineRule="auto"/>
            </w:pPr>
            <w:r w:rsidRPr="00E6061D">
              <w:t xml:space="preserve">Umbrella term used to refer to disability services provided under the </w:t>
            </w:r>
            <w:r w:rsidRPr="00E6061D">
              <w:rPr>
                <w:i/>
                <w:iCs/>
              </w:rPr>
              <w:t>Disability Act 2006</w:t>
            </w:r>
            <w:r w:rsidRPr="00E6061D">
              <w:t xml:space="preserve">, these services under FDS refer to those funded or delivered by the Department. </w:t>
            </w:r>
          </w:p>
        </w:tc>
      </w:tr>
      <w:tr w:rsidR="00E6061D" w:rsidRPr="00E6061D" w14:paraId="1DEEB760" w14:textId="77777777" w:rsidTr="00E6061D">
        <w:tc>
          <w:tcPr>
            <w:tcW w:w="2547" w:type="dxa"/>
          </w:tcPr>
          <w:p w14:paraId="4D0C5417" w14:textId="77777777" w:rsidR="00E81C5C" w:rsidRPr="00E6061D" w:rsidRDefault="00E81C5C">
            <w:pPr>
              <w:spacing w:line="240" w:lineRule="auto"/>
              <w:rPr>
                <w:b/>
                <w:bCs/>
              </w:rPr>
            </w:pPr>
            <w:r w:rsidRPr="00E6061D">
              <w:rPr>
                <w:b/>
                <w:bCs/>
              </w:rPr>
              <w:t>Cognitive Impairment</w:t>
            </w:r>
          </w:p>
        </w:tc>
        <w:tc>
          <w:tcPr>
            <w:tcW w:w="6469" w:type="dxa"/>
          </w:tcPr>
          <w:p w14:paraId="6D02C28E" w14:textId="77777777" w:rsidR="00E81C5C" w:rsidRPr="00E6061D" w:rsidRDefault="00E81C5C">
            <w:pPr>
              <w:spacing w:line="240" w:lineRule="auto"/>
            </w:pPr>
            <w:r w:rsidRPr="00E6061D">
              <w:t>Umbrella term used to refer to disability types which have an impact on cognitive functioning including intellectual disability, acquired brain injury, or some neurological impairments.</w:t>
            </w:r>
          </w:p>
        </w:tc>
      </w:tr>
      <w:tr w:rsidR="00E6061D" w:rsidRPr="00E6061D" w14:paraId="5A4B485C" w14:textId="77777777" w:rsidTr="00E6061D">
        <w:tc>
          <w:tcPr>
            <w:tcW w:w="2547" w:type="dxa"/>
          </w:tcPr>
          <w:p w14:paraId="69FDA607" w14:textId="77777777" w:rsidR="00E81C5C" w:rsidRPr="00E6061D" w:rsidRDefault="00E81C5C">
            <w:pPr>
              <w:spacing w:line="240" w:lineRule="auto"/>
              <w:rPr>
                <w:b/>
                <w:bCs/>
              </w:rPr>
            </w:pPr>
            <w:r w:rsidRPr="00E6061D">
              <w:rPr>
                <w:b/>
                <w:bCs/>
              </w:rPr>
              <w:t>Secretary</w:t>
            </w:r>
          </w:p>
        </w:tc>
        <w:tc>
          <w:tcPr>
            <w:tcW w:w="6469" w:type="dxa"/>
          </w:tcPr>
          <w:p w14:paraId="42D757AC" w14:textId="77777777" w:rsidR="00E81C5C" w:rsidRPr="00E6061D" w:rsidRDefault="00E81C5C">
            <w:pPr>
              <w:spacing w:line="240" w:lineRule="auto"/>
              <w:rPr>
                <w:bCs/>
              </w:rPr>
            </w:pPr>
            <w:r w:rsidRPr="00E6061D">
              <w:rPr>
                <w:bCs/>
              </w:rPr>
              <w:t xml:space="preserve">Refers to the Secretary of the Department of Families, Fairness and Housing or the Secretary’s delegate being the position nominated to exercise specific powers assigned to the Secretary of the Department, via the Instrument of Delegation for the </w:t>
            </w:r>
            <w:r w:rsidRPr="00E6061D">
              <w:rPr>
                <w:bCs/>
                <w:i/>
                <w:iCs/>
              </w:rPr>
              <w:t>Disability Act 2006.</w:t>
            </w:r>
          </w:p>
        </w:tc>
      </w:tr>
      <w:tr w:rsidR="00E6061D" w:rsidRPr="00E6061D" w14:paraId="6745BF80" w14:textId="77777777" w:rsidTr="00E6061D">
        <w:tc>
          <w:tcPr>
            <w:tcW w:w="2547" w:type="dxa"/>
          </w:tcPr>
          <w:p w14:paraId="1523DA53" w14:textId="77777777" w:rsidR="00E81C5C" w:rsidRPr="00E6061D" w:rsidRDefault="00E81C5C">
            <w:pPr>
              <w:spacing w:line="240" w:lineRule="auto"/>
              <w:rPr>
                <w:b/>
                <w:bCs/>
              </w:rPr>
            </w:pPr>
            <w:r w:rsidRPr="00E6061D">
              <w:rPr>
                <w:b/>
                <w:bCs/>
              </w:rPr>
              <w:t>Target Group Assessment</w:t>
            </w:r>
          </w:p>
        </w:tc>
        <w:tc>
          <w:tcPr>
            <w:tcW w:w="6469" w:type="dxa"/>
          </w:tcPr>
          <w:p w14:paraId="1B7B6105" w14:textId="77777777" w:rsidR="00E81C5C" w:rsidRPr="00E6061D" w:rsidRDefault="00E81C5C">
            <w:pPr>
              <w:spacing w:line="240" w:lineRule="auto"/>
            </w:pPr>
            <w:r w:rsidRPr="00E6061D">
              <w:t xml:space="preserve">An assessment to determine disability in accordance with criteria outlined in the </w:t>
            </w:r>
            <w:r w:rsidRPr="00E6061D">
              <w:rPr>
                <w:i/>
              </w:rPr>
              <w:t>Disability Act 2006</w:t>
            </w:r>
            <w:r w:rsidRPr="00E6061D">
              <w:t>.</w:t>
            </w:r>
          </w:p>
        </w:tc>
      </w:tr>
      <w:tr w:rsidR="00E6061D" w:rsidRPr="00E6061D" w14:paraId="3B98DE3A" w14:textId="77777777" w:rsidTr="00E6061D">
        <w:tc>
          <w:tcPr>
            <w:tcW w:w="2547" w:type="dxa"/>
          </w:tcPr>
          <w:p w14:paraId="79D084A9" w14:textId="77777777" w:rsidR="00E81C5C" w:rsidRPr="00E6061D" w:rsidRDefault="00E81C5C">
            <w:pPr>
              <w:spacing w:line="240" w:lineRule="auto"/>
              <w:rPr>
                <w:b/>
                <w:bCs/>
              </w:rPr>
            </w:pPr>
            <w:r w:rsidRPr="00E6061D">
              <w:rPr>
                <w:b/>
                <w:bCs/>
              </w:rPr>
              <w:t>Victorian Senior Practitioner</w:t>
            </w:r>
          </w:p>
        </w:tc>
        <w:tc>
          <w:tcPr>
            <w:tcW w:w="6469" w:type="dxa"/>
          </w:tcPr>
          <w:p w14:paraId="4F7E4E91" w14:textId="77777777" w:rsidR="00E81C5C" w:rsidRPr="00E6061D" w:rsidRDefault="00E81C5C">
            <w:pPr>
              <w:spacing w:line="240" w:lineRule="auto"/>
            </w:pPr>
            <w:r w:rsidRPr="00E6061D">
              <w:t xml:space="preserve">Victorian Senior Practitioner as per the </w:t>
            </w:r>
            <w:r w:rsidRPr="00E6061D">
              <w:rPr>
                <w:i/>
              </w:rPr>
              <w:t>Disability Act 2006</w:t>
            </w:r>
            <w:r w:rsidRPr="00E6061D">
              <w:t>.</w:t>
            </w:r>
          </w:p>
        </w:tc>
      </w:tr>
    </w:tbl>
    <w:p w14:paraId="729230D5" w14:textId="77777777" w:rsidR="00E81C5C" w:rsidRPr="008375BB" w:rsidRDefault="00E81C5C" w:rsidP="00E81C5C">
      <w:pPr>
        <w:spacing w:after="0" w:line="240" w:lineRule="auto"/>
        <w:rPr>
          <w:rFonts w:eastAsia="MS Gothic" w:cs="Arial"/>
          <w:color w:val="201547"/>
          <w:kern w:val="32"/>
          <w:sz w:val="20"/>
        </w:rPr>
      </w:pPr>
    </w:p>
    <w:p w14:paraId="6D684C71" w14:textId="77777777" w:rsidR="00E81C5C" w:rsidRPr="005002A5" w:rsidRDefault="00E81C5C" w:rsidP="00E81C5C">
      <w:pPr>
        <w:keepNext/>
        <w:keepLines/>
        <w:spacing w:before="280" w:line="320" w:lineRule="atLeast"/>
        <w:outlineLvl w:val="2"/>
        <w:rPr>
          <w:rFonts w:eastAsia="MS Gothic"/>
          <w:bCs/>
          <w:color w:val="201547"/>
          <w:sz w:val="28"/>
          <w:szCs w:val="26"/>
        </w:rPr>
      </w:pPr>
      <w:bookmarkStart w:id="28" w:name="_Toc193358685"/>
      <w:bookmarkStart w:id="29" w:name="_Toc194581164"/>
      <w:bookmarkStart w:id="30" w:name="_Toc205460189"/>
      <w:r w:rsidRPr="005002A5">
        <w:rPr>
          <w:rFonts w:eastAsia="MS Gothic"/>
          <w:bCs/>
          <w:color w:val="201547"/>
          <w:sz w:val="28"/>
          <w:szCs w:val="26"/>
        </w:rPr>
        <w:t>Version control and authorisation</w:t>
      </w:r>
      <w:bookmarkEnd w:id="28"/>
      <w:bookmarkEnd w:id="29"/>
      <w:bookmarkEnd w:id="30"/>
      <w:r w:rsidRPr="005002A5">
        <w:rPr>
          <w:rFonts w:eastAsia="MS Gothic"/>
          <w:bCs/>
          <w:color w:val="201547"/>
          <w:sz w:val="28"/>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073"/>
        <w:gridCol w:w="3546"/>
        <w:gridCol w:w="3083"/>
      </w:tblGrid>
      <w:tr w:rsidR="00E81C5C" w:rsidRPr="005002A5" w14:paraId="4CA46E50" w14:textId="77777777">
        <w:trPr>
          <w:trHeight w:val="369"/>
        </w:trPr>
        <w:tc>
          <w:tcPr>
            <w:tcW w:w="5825" w:type="dxa"/>
            <w:gridSpan w:val="3"/>
            <w:vAlign w:val="center"/>
          </w:tcPr>
          <w:p w14:paraId="55498F00" w14:textId="77777777" w:rsidR="00E81C5C" w:rsidRPr="005002A5" w:rsidRDefault="00E81C5C">
            <w:pPr>
              <w:rPr>
                <w:rFonts w:eastAsia="Times"/>
              </w:rPr>
            </w:pPr>
            <w:r w:rsidRPr="005002A5">
              <w:rPr>
                <w:rFonts w:eastAsia="Times"/>
              </w:rPr>
              <w:t>Authorisation status/date</w:t>
            </w:r>
          </w:p>
        </w:tc>
        <w:tc>
          <w:tcPr>
            <w:tcW w:w="3083" w:type="dxa"/>
          </w:tcPr>
          <w:p w14:paraId="01FFC7E6" w14:textId="77777777" w:rsidR="00E81C5C" w:rsidRPr="005002A5" w:rsidRDefault="00E81C5C">
            <w:pPr>
              <w:rPr>
                <w:rFonts w:eastAsia="Times"/>
              </w:rPr>
            </w:pPr>
          </w:p>
        </w:tc>
      </w:tr>
      <w:tr w:rsidR="00E81C5C" w:rsidRPr="005002A5" w14:paraId="2D1A5D4C" w14:textId="77777777">
        <w:trPr>
          <w:trHeight w:val="369"/>
        </w:trPr>
        <w:tc>
          <w:tcPr>
            <w:tcW w:w="1206" w:type="dxa"/>
            <w:vAlign w:val="center"/>
          </w:tcPr>
          <w:p w14:paraId="5B28CFE6" w14:textId="77777777" w:rsidR="00E81C5C" w:rsidRPr="007E4A28" w:rsidRDefault="00E81C5C">
            <w:pPr>
              <w:rPr>
                <w:rFonts w:eastAsia="Times"/>
                <w:b/>
              </w:rPr>
            </w:pPr>
            <w:r w:rsidRPr="007E4A28">
              <w:rPr>
                <w:rFonts w:eastAsia="Times"/>
                <w:b/>
              </w:rPr>
              <w:t>Version</w:t>
            </w:r>
          </w:p>
        </w:tc>
        <w:tc>
          <w:tcPr>
            <w:tcW w:w="1073" w:type="dxa"/>
            <w:vAlign w:val="center"/>
          </w:tcPr>
          <w:p w14:paraId="47BC9D6B" w14:textId="77777777" w:rsidR="00E81C5C" w:rsidRPr="007E4A28" w:rsidRDefault="00E81C5C">
            <w:pPr>
              <w:rPr>
                <w:rFonts w:eastAsia="Times"/>
                <w:b/>
              </w:rPr>
            </w:pPr>
            <w:r w:rsidRPr="007E4A28">
              <w:rPr>
                <w:rFonts w:eastAsia="Times"/>
                <w:b/>
              </w:rPr>
              <w:t>Status</w:t>
            </w:r>
          </w:p>
        </w:tc>
        <w:tc>
          <w:tcPr>
            <w:tcW w:w="3546" w:type="dxa"/>
            <w:vAlign w:val="center"/>
          </w:tcPr>
          <w:p w14:paraId="29EFFD2C" w14:textId="77777777" w:rsidR="00E81C5C" w:rsidRPr="007E4A28" w:rsidRDefault="00E81C5C">
            <w:pPr>
              <w:rPr>
                <w:rFonts w:eastAsia="Times"/>
                <w:b/>
              </w:rPr>
            </w:pPr>
            <w:r>
              <w:rPr>
                <w:rFonts w:eastAsia="Times"/>
                <w:b/>
              </w:rPr>
              <w:t>Approval</w:t>
            </w:r>
            <w:r w:rsidRPr="007E4A28">
              <w:rPr>
                <w:rFonts w:eastAsia="Times"/>
                <w:b/>
              </w:rPr>
              <w:t xml:space="preserve"> </w:t>
            </w:r>
            <w:r>
              <w:rPr>
                <w:rFonts w:eastAsia="Times"/>
                <w:b/>
              </w:rPr>
              <w:t>D</w:t>
            </w:r>
            <w:r w:rsidRPr="007E4A28">
              <w:rPr>
                <w:rFonts w:eastAsia="Times"/>
                <w:b/>
              </w:rPr>
              <w:t>ate</w:t>
            </w:r>
          </w:p>
        </w:tc>
        <w:tc>
          <w:tcPr>
            <w:tcW w:w="3083" w:type="dxa"/>
          </w:tcPr>
          <w:p w14:paraId="76D038A7" w14:textId="77777777" w:rsidR="00E81C5C" w:rsidRDefault="00E81C5C">
            <w:pPr>
              <w:rPr>
                <w:rFonts w:eastAsia="Times"/>
                <w:b/>
              </w:rPr>
            </w:pPr>
            <w:r>
              <w:rPr>
                <w:rFonts w:eastAsia="Times"/>
                <w:b/>
              </w:rPr>
              <w:t xml:space="preserve">Approving Author </w:t>
            </w:r>
          </w:p>
        </w:tc>
      </w:tr>
      <w:tr w:rsidR="00E81C5C" w:rsidRPr="005002A5" w14:paraId="33E1BF28" w14:textId="77777777">
        <w:trPr>
          <w:trHeight w:val="353"/>
        </w:trPr>
        <w:tc>
          <w:tcPr>
            <w:tcW w:w="1206" w:type="dxa"/>
          </w:tcPr>
          <w:p w14:paraId="677A058C" w14:textId="77777777" w:rsidR="00E81C5C" w:rsidRPr="005002A5" w:rsidRDefault="00E81C5C">
            <w:pPr>
              <w:rPr>
                <w:rFonts w:eastAsia="Times"/>
              </w:rPr>
            </w:pPr>
            <w:r w:rsidRPr="005002A5">
              <w:rPr>
                <w:rFonts w:eastAsia="Times"/>
              </w:rPr>
              <w:t>Version 1.0</w:t>
            </w:r>
          </w:p>
        </w:tc>
        <w:tc>
          <w:tcPr>
            <w:tcW w:w="1073" w:type="dxa"/>
          </w:tcPr>
          <w:p w14:paraId="4F33BD00" w14:textId="77777777" w:rsidR="00E81C5C" w:rsidRPr="005002A5" w:rsidRDefault="00E81C5C">
            <w:pPr>
              <w:rPr>
                <w:rFonts w:eastAsia="Times"/>
              </w:rPr>
            </w:pPr>
            <w:r w:rsidRPr="005002A5">
              <w:rPr>
                <w:rFonts w:eastAsia="Times"/>
              </w:rPr>
              <w:t>Final</w:t>
            </w:r>
          </w:p>
        </w:tc>
        <w:tc>
          <w:tcPr>
            <w:tcW w:w="3546" w:type="dxa"/>
          </w:tcPr>
          <w:p w14:paraId="0EE68D7B" w14:textId="77777777" w:rsidR="00E81C5C" w:rsidRPr="005002A5" w:rsidRDefault="00E81C5C">
            <w:pPr>
              <w:rPr>
                <w:rFonts w:eastAsia="Times"/>
              </w:rPr>
            </w:pPr>
            <w:r>
              <w:rPr>
                <w:rFonts w:eastAsia="Times"/>
              </w:rPr>
              <w:t>22</w:t>
            </w:r>
            <w:r w:rsidRPr="005002A5">
              <w:rPr>
                <w:rFonts w:eastAsia="Times"/>
              </w:rPr>
              <w:t xml:space="preserve"> April 2025</w:t>
            </w:r>
          </w:p>
        </w:tc>
        <w:tc>
          <w:tcPr>
            <w:tcW w:w="3083" w:type="dxa"/>
          </w:tcPr>
          <w:p w14:paraId="3DCE716A" w14:textId="77777777" w:rsidR="00E81C5C" w:rsidRDefault="00E81C5C">
            <w:pPr>
              <w:rPr>
                <w:rFonts w:eastAsia="Times"/>
              </w:rPr>
            </w:pPr>
            <w:r>
              <w:rPr>
                <w:rFonts w:eastAsia="Times"/>
              </w:rPr>
              <w:t xml:space="preserve">Executive Director, Disability Reform and Complex Needs </w:t>
            </w:r>
          </w:p>
        </w:tc>
      </w:tr>
      <w:tr w:rsidR="00E81C5C" w:rsidRPr="005002A5" w14:paraId="20B19704" w14:textId="77777777">
        <w:trPr>
          <w:trHeight w:val="353"/>
        </w:trPr>
        <w:tc>
          <w:tcPr>
            <w:tcW w:w="1206" w:type="dxa"/>
          </w:tcPr>
          <w:p w14:paraId="766F3E97" w14:textId="77777777" w:rsidR="00E81C5C" w:rsidRPr="005002A5" w:rsidRDefault="00E81C5C">
            <w:pPr>
              <w:rPr>
                <w:rFonts w:eastAsia="Times"/>
              </w:rPr>
            </w:pPr>
            <w:r w:rsidRPr="005002A5">
              <w:rPr>
                <w:rFonts w:eastAsia="Times"/>
              </w:rPr>
              <w:t>Version 1.0</w:t>
            </w:r>
          </w:p>
        </w:tc>
        <w:tc>
          <w:tcPr>
            <w:tcW w:w="1073" w:type="dxa"/>
          </w:tcPr>
          <w:p w14:paraId="24C117A0" w14:textId="77777777" w:rsidR="00E81C5C" w:rsidRPr="005002A5" w:rsidRDefault="00E81C5C">
            <w:pPr>
              <w:rPr>
                <w:rFonts w:eastAsia="Times"/>
              </w:rPr>
            </w:pPr>
            <w:r w:rsidRPr="005002A5">
              <w:rPr>
                <w:rFonts w:eastAsia="Times"/>
              </w:rPr>
              <w:t>Final</w:t>
            </w:r>
          </w:p>
        </w:tc>
        <w:tc>
          <w:tcPr>
            <w:tcW w:w="3546" w:type="dxa"/>
          </w:tcPr>
          <w:p w14:paraId="1EB416D7" w14:textId="77777777" w:rsidR="00E81C5C" w:rsidRDefault="00E81C5C">
            <w:pPr>
              <w:rPr>
                <w:rFonts w:eastAsia="Times"/>
              </w:rPr>
            </w:pPr>
            <w:r w:rsidRPr="00AE25F2">
              <w:rPr>
                <w:rFonts w:eastAsia="Times"/>
              </w:rPr>
              <w:t>30 April 2025</w:t>
            </w:r>
          </w:p>
        </w:tc>
        <w:tc>
          <w:tcPr>
            <w:tcW w:w="3083" w:type="dxa"/>
          </w:tcPr>
          <w:p w14:paraId="7DDCF50B" w14:textId="77777777" w:rsidR="00E81C5C" w:rsidRDefault="00E81C5C">
            <w:pPr>
              <w:rPr>
                <w:rFonts w:eastAsia="Times"/>
              </w:rPr>
            </w:pPr>
            <w:r>
              <w:rPr>
                <w:rFonts w:eastAsia="Times"/>
              </w:rPr>
              <w:t xml:space="preserve">Complex Needs and Forensic Disability Steering Committee </w:t>
            </w:r>
          </w:p>
        </w:tc>
      </w:tr>
    </w:tbl>
    <w:p w14:paraId="57FB3D35" w14:textId="77777777" w:rsidR="00E81C5C" w:rsidRPr="003B1BDC" w:rsidRDefault="00E81C5C" w:rsidP="00E81C5C">
      <w:pPr>
        <w:pStyle w:val="Body"/>
      </w:pPr>
    </w:p>
    <w:tbl>
      <w:tblPr>
        <w:tblStyle w:val="TableGrid"/>
        <w:tblW w:w="0" w:type="auto"/>
        <w:tblCellMar>
          <w:bottom w:w="108" w:type="dxa"/>
        </w:tblCellMar>
        <w:tblLook w:val="0620" w:firstRow="1" w:lastRow="0" w:firstColumn="0" w:lastColumn="0" w:noHBand="1" w:noVBand="1"/>
      </w:tblPr>
      <w:tblGrid>
        <w:gridCol w:w="9288"/>
      </w:tblGrid>
      <w:tr w:rsidR="00E81C5C" w14:paraId="5B8725FB" w14:textId="77777777" w:rsidTr="0066192D">
        <w:trPr>
          <w:trHeight w:val="300"/>
        </w:trPr>
        <w:tc>
          <w:tcPr>
            <w:tcW w:w="10194" w:type="dxa"/>
          </w:tcPr>
          <w:p w14:paraId="5C680267" w14:textId="388754DA" w:rsidR="00E81C5C" w:rsidRPr="0055119B" w:rsidRDefault="00E81C5C">
            <w:pPr>
              <w:pStyle w:val="Accessibilitypara"/>
            </w:pPr>
            <w:bookmarkStart w:id="31" w:name="_Hlk37240926"/>
            <w:r>
              <w:t xml:space="preserve">To receive this document in another format, email </w:t>
            </w:r>
            <w:r w:rsidR="0099412C">
              <w:t>Disability Reform and Complex</w:t>
            </w:r>
            <w:r w:rsidR="006941AC">
              <w:t xml:space="preserve"> Needs </w:t>
            </w:r>
            <w:r w:rsidR="006941AC" w:rsidRPr="00A0131D">
              <w:t>Branch</w:t>
            </w:r>
            <w:r w:rsidRPr="00A0131D">
              <w:rPr>
                <w:color w:val="004C97"/>
              </w:rPr>
              <w:t xml:space="preserve"> </w:t>
            </w:r>
            <w:r w:rsidRPr="00A0131D">
              <w:t>&lt;</w:t>
            </w:r>
            <w:r w:rsidR="00A0131D" w:rsidRPr="00A0131D">
              <w:t>drcn@dffh.vic.gov.au</w:t>
            </w:r>
            <w:r w:rsidRPr="00A0131D">
              <w:t>&gt;.</w:t>
            </w:r>
          </w:p>
          <w:p w14:paraId="1D3115B1" w14:textId="77777777" w:rsidR="00E81C5C" w:rsidRPr="0055119B" w:rsidRDefault="00E81C5C">
            <w:pPr>
              <w:pStyle w:val="Imprint"/>
            </w:pPr>
            <w:r>
              <w:lastRenderedPageBreak/>
              <w:t>Authorised and published by the Victorian Government, 1 Treasury Place, Melbourne.</w:t>
            </w:r>
          </w:p>
          <w:p w14:paraId="7F19ECD5" w14:textId="65F3C5B6" w:rsidR="00E81C5C" w:rsidRPr="0055119B" w:rsidRDefault="00E81C5C">
            <w:pPr>
              <w:pStyle w:val="Imprint"/>
            </w:pPr>
            <w:r>
              <w:t xml:space="preserve">© State of Victoria, Australia, Department of Families, Fairness and Housing, </w:t>
            </w:r>
            <w:r w:rsidR="0000411B">
              <w:rPr>
                <w:color w:val="004C97"/>
              </w:rPr>
              <w:t>June 2025</w:t>
            </w:r>
            <w:r>
              <w:t>.</w:t>
            </w:r>
          </w:p>
          <w:p w14:paraId="45795A39" w14:textId="32793B7F" w:rsidR="00E81C5C" w:rsidRDefault="00E81C5C">
            <w:pPr>
              <w:pStyle w:val="Imprint"/>
            </w:pPr>
            <w:r>
              <w:t xml:space="preserve">Available at </w:t>
            </w:r>
            <w:r w:rsidR="00204EF8">
              <w:rPr>
                <w:color w:val="004C97"/>
              </w:rPr>
              <w:t>Department of Families, Fairness and Housing</w:t>
            </w:r>
            <w:r>
              <w:t xml:space="preserve"> &lt;</w:t>
            </w:r>
            <w:r w:rsidR="00204EF8">
              <w:rPr>
                <w:color w:val="004C97"/>
              </w:rPr>
              <w:t>http</w:t>
            </w:r>
            <w:r w:rsidR="00E31461">
              <w:rPr>
                <w:color w:val="004C97"/>
              </w:rPr>
              <w:t>://www.dffh.vic.gov.au</w:t>
            </w:r>
            <w:r>
              <w:t>&gt;</w:t>
            </w:r>
          </w:p>
        </w:tc>
      </w:tr>
      <w:bookmarkEnd w:id="31"/>
    </w:tbl>
    <w:p w14:paraId="6AC8EFE3" w14:textId="77777777" w:rsidR="00E81C5C" w:rsidRPr="00CB1F44" w:rsidRDefault="00E81C5C" w:rsidP="00E81C5C">
      <w:pPr>
        <w:spacing w:after="0" w:line="240" w:lineRule="auto"/>
        <w:rPr>
          <w:rFonts w:eastAsia="MS Gothic" w:cs="Arial"/>
          <w:color w:val="201547"/>
          <w:kern w:val="32"/>
          <w:sz w:val="44"/>
          <w:szCs w:val="44"/>
        </w:rPr>
      </w:pPr>
    </w:p>
    <w:p w14:paraId="1A443831" w14:textId="39A7D246" w:rsidR="00F15144" w:rsidRDefault="00F15144" w:rsidP="00B94C5E">
      <w:pPr>
        <w:pStyle w:val="Heading2"/>
      </w:pPr>
    </w:p>
    <w:sectPr w:rsidR="00F15144" w:rsidSect="00F15144">
      <w:headerReference w:type="even" r:id="rId21"/>
      <w:headerReference w:type="default" r:id="rId22"/>
      <w:footerReference w:type="even" r:id="rId23"/>
      <w:footerReference w:type="default" r:id="rId2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910E" w14:textId="77777777" w:rsidR="006F5BD3" w:rsidRDefault="006F5BD3">
      <w:r>
        <w:separator/>
      </w:r>
    </w:p>
    <w:p w14:paraId="05528029" w14:textId="77777777" w:rsidR="006F5BD3" w:rsidRDefault="006F5BD3"/>
  </w:endnote>
  <w:endnote w:type="continuationSeparator" w:id="0">
    <w:p w14:paraId="51F9B550" w14:textId="77777777" w:rsidR="006F5BD3" w:rsidRDefault="006F5BD3">
      <w:r>
        <w:continuationSeparator/>
      </w:r>
    </w:p>
    <w:p w14:paraId="73ADAD41" w14:textId="77777777" w:rsidR="006F5BD3" w:rsidRDefault="006F5BD3"/>
  </w:endnote>
  <w:endnote w:type="continuationNotice" w:id="1">
    <w:p w14:paraId="6F033F28" w14:textId="77777777" w:rsidR="006F5BD3" w:rsidRDefault="006F5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2BB2" w14:textId="77777777" w:rsidR="006F5BD3" w:rsidRDefault="006F5BD3" w:rsidP="00207717">
      <w:pPr>
        <w:spacing w:before="120"/>
      </w:pPr>
      <w:r>
        <w:separator/>
      </w:r>
    </w:p>
  </w:footnote>
  <w:footnote w:type="continuationSeparator" w:id="0">
    <w:p w14:paraId="1FEF97BA" w14:textId="77777777" w:rsidR="006F5BD3" w:rsidRDefault="006F5BD3">
      <w:r>
        <w:continuationSeparator/>
      </w:r>
    </w:p>
    <w:p w14:paraId="459C7204" w14:textId="77777777" w:rsidR="006F5BD3" w:rsidRDefault="006F5BD3"/>
  </w:footnote>
  <w:footnote w:type="continuationNotice" w:id="1">
    <w:p w14:paraId="266DBC81" w14:textId="77777777" w:rsidR="006F5BD3" w:rsidRDefault="006F5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042CC467" w:rsidR="00562811" w:rsidRPr="001C7128" w:rsidRDefault="00A76D06" w:rsidP="001C7128">
    <w:pPr>
      <w:pStyle w:val="Header"/>
    </w:pPr>
    <w:r>
      <w:t>A</w:t>
    </w:r>
    <w:r w:rsidR="007921D7">
      <w:t xml:space="preserve">ccess Policy </w:t>
    </w:r>
    <w:r w:rsidR="00BB3E9E">
      <w:t>2025 – Forensic Disability</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97C38AA"/>
    <w:multiLevelType w:val="hybridMultilevel"/>
    <w:tmpl w:val="AC2226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9DC0735"/>
    <w:multiLevelType w:val="hybridMultilevel"/>
    <w:tmpl w:val="0CFC91FE"/>
    <w:lvl w:ilvl="0" w:tplc="8BD259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303A5"/>
    <w:multiLevelType w:val="hybridMultilevel"/>
    <w:tmpl w:val="5BDC7AF8"/>
    <w:styleLink w:val="ZZNumbers"/>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4A077AE"/>
    <w:multiLevelType w:val="hybridMultilevel"/>
    <w:tmpl w:val="430A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8D4048A"/>
    <w:multiLevelType w:val="hybridMultilevel"/>
    <w:tmpl w:val="ADCCE170"/>
    <w:lvl w:ilvl="0" w:tplc="D8EA36C4">
      <w:start w:val="1"/>
      <w:numFmt w:val="bullet"/>
      <w:pStyle w:val="BulletPointLis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5E105CD4"/>
    <w:multiLevelType w:val="hybridMultilevel"/>
    <w:tmpl w:val="33BE5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E82434A"/>
    <w:multiLevelType w:val="hybridMultilevel"/>
    <w:tmpl w:val="BECC07D4"/>
    <w:lvl w:ilvl="0" w:tplc="2E06033A">
      <w:start w:val="1"/>
      <w:numFmt w:val="lowerRoman"/>
      <w:lvlText w:val="(%1)"/>
      <w:lvlJc w:val="left"/>
      <w:pPr>
        <w:ind w:left="1440" w:hanging="720"/>
      </w:pPr>
      <w:rPr>
        <w:rFonts w:hint="default"/>
      </w:rPr>
    </w:lvl>
    <w:lvl w:ilvl="1" w:tplc="ACDA98D4">
      <w:numFmt w:val="bullet"/>
      <w:lvlText w:val="-"/>
      <w:lvlJc w:val="left"/>
      <w:pPr>
        <w:ind w:left="1800" w:hanging="360"/>
      </w:pPr>
      <w:rPr>
        <w:rFonts w:ascii="Arial" w:eastAsia="Times" w:hAnsi="Arial" w:cs="Aria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17032439">
    <w:abstractNumId w:val="4"/>
  </w:num>
  <w:num w:numId="2" w16cid:durableId="1355963572">
    <w:abstractNumId w:val="8"/>
  </w:num>
  <w:num w:numId="3" w16cid:durableId="898395120">
    <w:abstractNumId w:val="7"/>
  </w:num>
  <w:num w:numId="4" w16cid:durableId="1510021562">
    <w:abstractNumId w:val="11"/>
  </w:num>
  <w:num w:numId="5" w16cid:durableId="320894444">
    <w:abstractNumId w:val="5"/>
  </w:num>
  <w:num w:numId="6" w16cid:durableId="670063983">
    <w:abstractNumId w:val="0"/>
  </w:num>
  <w:num w:numId="7" w16cid:durableId="1330871343">
    <w:abstractNumId w:val="2"/>
  </w:num>
  <w:num w:numId="8" w16cid:durableId="1536772029">
    <w:abstractNumId w:val="12"/>
  </w:num>
  <w:num w:numId="9" w16cid:durableId="758138266">
    <w:abstractNumId w:val="1"/>
  </w:num>
  <w:num w:numId="10" w16cid:durableId="342971598">
    <w:abstractNumId w:val="3"/>
  </w:num>
  <w:num w:numId="11" w16cid:durableId="5715866">
    <w:abstractNumId w:val="6"/>
  </w:num>
  <w:num w:numId="12" w16cid:durableId="749624725">
    <w:abstractNumId w:val="10"/>
  </w:num>
  <w:num w:numId="13" w16cid:durableId="170178157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11B"/>
    <w:rsid w:val="00005347"/>
    <w:rsid w:val="000072B6"/>
    <w:rsid w:val="0001021B"/>
    <w:rsid w:val="00011D89"/>
    <w:rsid w:val="000154FD"/>
    <w:rsid w:val="00020678"/>
    <w:rsid w:val="00022271"/>
    <w:rsid w:val="000235E8"/>
    <w:rsid w:val="0002393C"/>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FE8"/>
    <w:rsid w:val="000679EA"/>
    <w:rsid w:val="000733FE"/>
    <w:rsid w:val="00074219"/>
    <w:rsid w:val="00074ED5"/>
    <w:rsid w:val="0008170F"/>
    <w:rsid w:val="0008204A"/>
    <w:rsid w:val="0008508E"/>
    <w:rsid w:val="00087951"/>
    <w:rsid w:val="0009113B"/>
    <w:rsid w:val="000919CC"/>
    <w:rsid w:val="00093402"/>
    <w:rsid w:val="000939ED"/>
    <w:rsid w:val="00094DA3"/>
    <w:rsid w:val="00096CD1"/>
    <w:rsid w:val="000A012C"/>
    <w:rsid w:val="000A0EB9"/>
    <w:rsid w:val="000A186C"/>
    <w:rsid w:val="000A1EA4"/>
    <w:rsid w:val="000A2476"/>
    <w:rsid w:val="000A2D1A"/>
    <w:rsid w:val="000A641A"/>
    <w:rsid w:val="000B3EDB"/>
    <w:rsid w:val="000B543D"/>
    <w:rsid w:val="000B55F9"/>
    <w:rsid w:val="000B5BF7"/>
    <w:rsid w:val="000B6BC8"/>
    <w:rsid w:val="000C0303"/>
    <w:rsid w:val="000C42EA"/>
    <w:rsid w:val="000C4546"/>
    <w:rsid w:val="000D02EC"/>
    <w:rsid w:val="000D1242"/>
    <w:rsid w:val="000D2ABA"/>
    <w:rsid w:val="000D4395"/>
    <w:rsid w:val="000D4E2C"/>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BB9"/>
    <w:rsid w:val="001120C5"/>
    <w:rsid w:val="0011653F"/>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1D56"/>
    <w:rsid w:val="00192F9D"/>
    <w:rsid w:val="00196EB8"/>
    <w:rsid w:val="00196EFB"/>
    <w:rsid w:val="001975A5"/>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4EF8"/>
    <w:rsid w:val="00206463"/>
    <w:rsid w:val="00206F2F"/>
    <w:rsid w:val="00207717"/>
    <w:rsid w:val="0021053D"/>
    <w:rsid w:val="00210A92"/>
    <w:rsid w:val="00212AA7"/>
    <w:rsid w:val="00212B95"/>
    <w:rsid w:val="00215CC8"/>
    <w:rsid w:val="00216C03"/>
    <w:rsid w:val="00220A1A"/>
    <w:rsid w:val="00220C04"/>
    <w:rsid w:val="0022278D"/>
    <w:rsid w:val="0022701F"/>
    <w:rsid w:val="00227C68"/>
    <w:rsid w:val="002333F5"/>
    <w:rsid w:val="00233724"/>
    <w:rsid w:val="002365B4"/>
    <w:rsid w:val="0024145C"/>
    <w:rsid w:val="002432E1"/>
    <w:rsid w:val="002451B3"/>
    <w:rsid w:val="00246207"/>
    <w:rsid w:val="00246C5E"/>
    <w:rsid w:val="00250960"/>
    <w:rsid w:val="00251343"/>
    <w:rsid w:val="002529E1"/>
    <w:rsid w:val="002536A4"/>
    <w:rsid w:val="00253A3E"/>
    <w:rsid w:val="00254F58"/>
    <w:rsid w:val="002600BD"/>
    <w:rsid w:val="002620BC"/>
    <w:rsid w:val="00262802"/>
    <w:rsid w:val="00263A90"/>
    <w:rsid w:val="0026408B"/>
    <w:rsid w:val="002666B1"/>
    <w:rsid w:val="00267C3E"/>
    <w:rsid w:val="002709BB"/>
    <w:rsid w:val="0027131C"/>
    <w:rsid w:val="00273BAC"/>
    <w:rsid w:val="002763B3"/>
    <w:rsid w:val="002802E3"/>
    <w:rsid w:val="0028213D"/>
    <w:rsid w:val="00282A7F"/>
    <w:rsid w:val="00285C7B"/>
    <w:rsid w:val="002862F1"/>
    <w:rsid w:val="00291373"/>
    <w:rsid w:val="00292E6C"/>
    <w:rsid w:val="002934E9"/>
    <w:rsid w:val="00293683"/>
    <w:rsid w:val="0029597D"/>
    <w:rsid w:val="002962C3"/>
    <w:rsid w:val="0029752B"/>
    <w:rsid w:val="002A0A9C"/>
    <w:rsid w:val="002A483C"/>
    <w:rsid w:val="002A50B4"/>
    <w:rsid w:val="002B0C7C"/>
    <w:rsid w:val="002B1729"/>
    <w:rsid w:val="002B36C7"/>
    <w:rsid w:val="002B4DD4"/>
    <w:rsid w:val="002B5277"/>
    <w:rsid w:val="002B5375"/>
    <w:rsid w:val="002B53DE"/>
    <w:rsid w:val="002B77C1"/>
    <w:rsid w:val="002C0ED7"/>
    <w:rsid w:val="002C2728"/>
    <w:rsid w:val="002C5B7C"/>
    <w:rsid w:val="002D1E0D"/>
    <w:rsid w:val="002D5006"/>
    <w:rsid w:val="002D6276"/>
    <w:rsid w:val="002D7C61"/>
    <w:rsid w:val="002E01D0"/>
    <w:rsid w:val="002E161D"/>
    <w:rsid w:val="002E28A2"/>
    <w:rsid w:val="002E3100"/>
    <w:rsid w:val="002E6C95"/>
    <w:rsid w:val="002E7C36"/>
    <w:rsid w:val="002F0274"/>
    <w:rsid w:val="002F3D32"/>
    <w:rsid w:val="002F5F31"/>
    <w:rsid w:val="002F5F46"/>
    <w:rsid w:val="00302216"/>
    <w:rsid w:val="00303E53"/>
    <w:rsid w:val="00305CC1"/>
    <w:rsid w:val="00306E5F"/>
    <w:rsid w:val="00307E14"/>
    <w:rsid w:val="00311F73"/>
    <w:rsid w:val="00314054"/>
    <w:rsid w:val="00316F27"/>
    <w:rsid w:val="003214F1"/>
    <w:rsid w:val="00322E4B"/>
    <w:rsid w:val="00327870"/>
    <w:rsid w:val="0033259D"/>
    <w:rsid w:val="003333D2"/>
    <w:rsid w:val="00334686"/>
    <w:rsid w:val="00337339"/>
    <w:rsid w:val="00340345"/>
    <w:rsid w:val="003404B7"/>
    <w:rsid w:val="003406C6"/>
    <w:rsid w:val="003418CC"/>
    <w:rsid w:val="003434EE"/>
    <w:rsid w:val="00345307"/>
    <w:rsid w:val="003459BD"/>
    <w:rsid w:val="00350D38"/>
    <w:rsid w:val="00351B36"/>
    <w:rsid w:val="00357B4E"/>
    <w:rsid w:val="0036418B"/>
    <w:rsid w:val="003716FD"/>
    <w:rsid w:val="0037204B"/>
    <w:rsid w:val="003744CF"/>
    <w:rsid w:val="00374717"/>
    <w:rsid w:val="0037676C"/>
    <w:rsid w:val="00381043"/>
    <w:rsid w:val="003829E5"/>
    <w:rsid w:val="00386109"/>
    <w:rsid w:val="00386944"/>
    <w:rsid w:val="003956CC"/>
    <w:rsid w:val="00395C9A"/>
    <w:rsid w:val="003A0853"/>
    <w:rsid w:val="003A1108"/>
    <w:rsid w:val="003A6B67"/>
    <w:rsid w:val="003B13B6"/>
    <w:rsid w:val="003B14C3"/>
    <w:rsid w:val="003B15E6"/>
    <w:rsid w:val="003B22EF"/>
    <w:rsid w:val="003B408A"/>
    <w:rsid w:val="003B53B6"/>
    <w:rsid w:val="003B5F9F"/>
    <w:rsid w:val="003C08A2"/>
    <w:rsid w:val="003C2045"/>
    <w:rsid w:val="003C43A1"/>
    <w:rsid w:val="003C4FC0"/>
    <w:rsid w:val="003C55F4"/>
    <w:rsid w:val="003C7897"/>
    <w:rsid w:val="003C7A3F"/>
    <w:rsid w:val="003D2766"/>
    <w:rsid w:val="003D2A74"/>
    <w:rsid w:val="003D3D88"/>
    <w:rsid w:val="003D3E8F"/>
    <w:rsid w:val="003D6475"/>
    <w:rsid w:val="003D6EE6"/>
    <w:rsid w:val="003D7AB8"/>
    <w:rsid w:val="003E281A"/>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C7396"/>
    <w:rsid w:val="004D0033"/>
    <w:rsid w:val="004D016B"/>
    <w:rsid w:val="004D1B22"/>
    <w:rsid w:val="004D23CC"/>
    <w:rsid w:val="004D36F2"/>
    <w:rsid w:val="004D7D7B"/>
    <w:rsid w:val="004E1106"/>
    <w:rsid w:val="004E138F"/>
    <w:rsid w:val="004E4649"/>
    <w:rsid w:val="004E5C2B"/>
    <w:rsid w:val="004F00DD"/>
    <w:rsid w:val="004F2133"/>
    <w:rsid w:val="004F5398"/>
    <w:rsid w:val="004F55F1"/>
    <w:rsid w:val="004F6936"/>
    <w:rsid w:val="00502422"/>
    <w:rsid w:val="00503DC6"/>
    <w:rsid w:val="00506F5D"/>
    <w:rsid w:val="00510C37"/>
    <w:rsid w:val="005126D0"/>
    <w:rsid w:val="00514667"/>
    <w:rsid w:val="0051568D"/>
    <w:rsid w:val="00526AC7"/>
    <w:rsid w:val="00526C15"/>
    <w:rsid w:val="00536499"/>
    <w:rsid w:val="00542A03"/>
    <w:rsid w:val="00543903"/>
    <w:rsid w:val="00543BCC"/>
    <w:rsid w:val="00543F11"/>
    <w:rsid w:val="00544D7E"/>
    <w:rsid w:val="00546305"/>
    <w:rsid w:val="00547A95"/>
    <w:rsid w:val="0055119B"/>
    <w:rsid w:val="00560EBB"/>
    <w:rsid w:val="00561202"/>
    <w:rsid w:val="00562507"/>
    <w:rsid w:val="00562811"/>
    <w:rsid w:val="00572031"/>
    <w:rsid w:val="00572282"/>
    <w:rsid w:val="00573CE3"/>
    <w:rsid w:val="00576E84"/>
    <w:rsid w:val="00580394"/>
    <w:rsid w:val="005809CD"/>
    <w:rsid w:val="00582B8C"/>
    <w:rsid w:val="0058757E"/>
    <w:rsid w:val="00591230"/>
    <w:rsid w:val="00596A4B"/>
    <w:rsid w:val="00597507"/>
    <w:rsid w:val="005A275D"/>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2692"/>
    <w:rsid w:val="005F64CF"/>
    <w:rsid w:val="006041AD"/>
    <w:rsid w:val="00605908"/>
    <w:rsid w:val="00607850"/>
    <w:rsid w:val="00607EF7"/>
    <w:rsid w:val="00610D7C"/>
    <w:rsid w:val="00613414"/>
    <w:rsid w:val="00615808"/>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F88"/>
    <w:rsid w:val="006557A7"/>
    <w:rsid w:val="0065595C"/>
    <w:rsid w:val="00656290"/>
    <w:rsid w:val="006601C9"/>
    <w:rsid w:val="006608D8"/>
    <w:rsid w:val="0066192D"/>
    <w:rsid w:val="00661DD9"/>
    <w:rsid w:val="006621D7"/>
    <w:rsid w:val="0066302A"/>
    <w:rsid w:val="00667770"/>
    <w:rsid w:val="00670597"/>
    <w:rsid w:val="006706D0"/>
    <w:rsid w:val="00677574"/>
    <w:rsid w:val="006812ED"/>
    <w:rsid w:val="00682108"/>
    <w:rsid w:val="00683878"/>
    <w:rsid w:val="00684380"/>
    <w:rsid w:val="0068454C"/>
    <w:rsid w:val="0069022B"/>
    <w:rsid w:val="00691B62"/>
    <w:rsid w:val="006933B5"/>
    <w:rsid w:val="00693546"/>
    <w:rsid w:val="00693D14"/>
    <w:rsid w:val="006941AC"/>
    <w:rsid w:val="00696F27"/>
    <w:rsid w:val="006A18C2"/>
    <w:rsid w:val="006A2717"/>
    <w:rsid w:val="006A3383"/>
    <w:rsid w:val="006B077C"/>
    <w:rsid w:val="006B0C81"/>
    <w:rsid w:val="006B6803"/>
    <w:rsid w:val="006C5188"/>
    <w:rsid w:val="006D0F16"/>
    <w:rsid w:val="006D2A3F"/>
    <w:rsid w:val="006D2FBC"/>
    <w:rsid w:val="006D3EF9"/>
    <w:rsid w:val="006D6E34"/>
    <w:rsid w:val="006E138B"/>
    <w:rsid w:val="006E1867"/>
    <w:rsid w:val="006F0330"/>
    <w:rsid w:val="006F1FDC"/>
    <w:rsid w:val="006F5BD3"/>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1377"/>
    <w:rsid w:val="00763139"/>
    <w:rsid w:val="00770F37"/>
    <w:rsid w:val="007711A0"/>
    <w:rsid w:val="00772D5E"/>
    <w:rsid w:val="0077463E"/>
    <w:rsid w:val="00776928"/>
    <w:rsid w:val="00776D56"/>
    <w:rsid w:val="00776E0F"/>
    <w:rsid w:val="007774B1"/>
    <w:rsid w:val="00777BE1"/>
    <w:rsid w:val="00782222"/>
    <w:rsid w:val="007833D8"/>
    <w:rsid w:val="00783988"/>
    <w:rsid w:val="00785677"/>
    <w:rsid w:val="00786F16"/>
    <w:rsid w:val="00791BD7"/>
    <w:rsid w:val="007921D7"/>
    <w:rsid w:val="007933F7"/>
    <w:rsid w:val="007950E5"/>
    <w:rsid w:val="00796E20"/>
    <w:rsid w:val="00797C32"/>
    <w:rsid w:val="007A11E8"/>
    <w:rsid w:val="007A1297"/>
    <w:rsid w:val="007B0914"/>
    <w:rsid w:val="007B1374"/>
    <w:rsid w:val="007B32E5"/>
    <w:rsid w:val="007B3DB9"/>
    <w:rsid w:val="007B589F"/>
    <w:rsid w:val="007B6186"/>
    <w:rsid w:val="007B73BC"/>
    <w:rsid w:val="007C1838"/>
    <w:rsid w:val="007C20B9"/>
    <w:rsid w:val="007C7301"/>
    <w:rsid w:val="007C7859"/>
    <w:rsid w:val="007C7F28"/>
    <w:rsid w:val="007D0AC7"/>
    <w:rsid w:val="007D1466"/>
    <w:rsid w:val="007D2BDE"/>
    <w:rsid w:val="007D2FB6"/>
    <w:rsid w:val="007D49EB"/>
    <w:rsid w:val="007D4BA1"/>
    <w:rsid w:val="007D59F6"/>
    <w:rsid w:val="007D5E1C"/>
    <w:rsid w:val="007D6EAD"/>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061"/>
    <w:rsid w:val="00831B47"/>
    <w:rsid w:val="008338A2"/>
    <w:rsid w:val="0083739C"/>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009F"/>
    <w:rsid w:val="0089270A"/>
    <w:rsid w:val="00893AF6"/>
    <w:rsid w:val="00894BC4"/>
    <w:rsid w:val="00896890"/>
    <w:rsid w:val="008A28A8"/>
    <w:rsid w:val="008A5B32"/>
    <w:rsid w:val="008A6C3F"/>
    <w:rsid w:val="008B2029"/>
    <w:rsid w:val="008B2EE4"/>
    <w:rsid w:val="008B30D8"/>
    <w:rsid w:val="008B3821"/>
    <w:rsid w:val="008B4D3D"/>
    <w:rsid w:val="008B57C7"/>
    <w:rsid w:val="008C2F92"/>
    <w:rsid w:val="008C3546"/>
    <w:rsid w:val="008C589D"/>
    <w:rsid w:val="008C6D51"/>
    <w:rsid w:val="008D2846"/>
    <w:rsid w:val="008D4236"/>
    <w:rsid w:val="008D462F"/>
    <w:rsid w:val="008D6DCF"/>
    <w:rsid w:val="008D7DFF"/>
    <w:rsid w:val="008E2C06"/>
    <w:rsid w:val="008E4376"/>
    <w:rsid w:val="008E6F22"/>
    <w:rsid w:val="008E7807"/>
    <w:rsid w:val="008E7A0A"/>
    <w:rsid w:val="008E7B49"/>
    <w:rsid w:val="008F59F6"/>
    <w:rsid w:val="00900719"/>
    <w:rsid w:val="009017AC"/>
    <w:rsid w:val="00902A9A"/>
    <w:rsid w:val="00904A1C"/>
    <w:rsid w:val="00905030"/>
    <w:rsid w:val="00906490"/>
    <w:rsid w:val="009111B2"/>
    <w:rsid w:val="00913623"/>
    <w:rsid w:val="009151F5"/>
    <w:rsid w:val="00920D70"/>
    <w:rsid w:val="00924AE1"/>
    <w:rsid w:val="00924B57"/>
    <w:rsid w:val="009269B1"/>
    <w:rsid w:val="0092724D"/>
    <w:rsid w:val="009272B3"/>
    <w:rsid w:val="009315BE"/>
    <w:rsid w:val="009326DD"/>
    <w:rsid w:val="0093338F"/>
    <w:rsid w:val="0093570B"/>
    <w:rsid w:val="00937BD9"/>
    <w:rsid w:val="00943257"/>
    <w:rsid w:val="00950E2C"/>
    <w:rsid w:val="00951D50"/>
    <w:rsid w:val="009525EB"/>
    <w:rsid w:val="0095470B"/>
    <w:rsid w:val="00954874"/>
    <w:rsid w:val="009550D5"/>
    <w:rsid w:val="0095615A"/>
    <w:rsid w:val="00957B47"/>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12C"/>
    <w:rsid w:val="00994386"/>
    <w:rsid w:val="009A13D8"/>
    <w:rsid w:val="009A279E"/>
    <w:rsid w:val="009A3015"/>
    <w:rsid w:val="009A3490"/>
    <w:rsid w:val="009B05FD"/>
    <w:rsid w:val="009B0A6F"/>
    <w:rsid w:val="009B0A94"/>
    <w:rsid w:val="009B0C62"/>
    <w:rsid w:val="009B2AE8"/>
    <w:rsid w:val="009B5622"/>
    <w:rsid w:val="009B59E9"/>
    <w:rsid w:val="009B70AA"/>
    <w:rsid w:val="009B73C3"/>
    <w:rsid w:val="009C245E"/>
    <w:rsid w:val="009C3CF1"/>
    <w:rsid w:val="009C4800"/>
    <w:rsid w:val="009C5E77"/>
    <w:rsid w:val="009C7A7E"/>
    <w:rsid w:val="009D02E8"/>
    <w:rsid w:val="009D328F"/>
    <w:rsid w:val="009D51D0"/>
    <w:rsid w:val="009D70A4"/>
    <w:rsid w:val="009D7B14"/>
    <w:rsid w:val="009E08D1"/>
    <w:rsid w:val="009E0D96"/>
    <w:rsid w:val="009E1B95"/>
    <w:rsid w:val="009E496F"/>
    <w:rsid w:val="009E4B0D"/>
    <w:rsid w:val="009E5250"/>
    <w:rsid w:val="009E6466"/>
    <w:rsid w:val="009E7A69"/>
    <w:rsid w:val="009E7F92"/>
    <w:rsid w:val="009F02A3"/>
    <w:rsid w:val="009F2182"/>
    <w:rsid w:val="009F2F27"/>
    <w:rsid w:val="009F34AA"/>
    <w:rsid w:val="009F6BCB"/>
    <w:rsid w:val="009F7B78"/>
    <w:rsid w:val="00A0057A"/>
    <w:rsid w:val="00A0131D"/>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358CB"/>
    <w:rsid w:val="00A42490"/>
    <w:rsid w:val="00A446F5"/>
    <w:rsid w:val="00A44882"/>
    <w:rsid w:val="00A45125"/>
    <w:rsid w:val="00A54715"/>
    <w:rsid w:val="00A6061C"/>
    <w:rsid w:val="00A62D44"/>
    <w:rsid w:val="00A67263"/>
    <w:rsid w:val="00A712A4"/>
    <w:rsid w:val="00A7161C"/>
    <w:rsid w:val="00A71CE4"/>
    <w:rsid w:val="00A76D06"/>
    <w:rsid w:val="00A77AA3"/>
    <w:rsid w:val="00A8236D"/>
    <w:rsid w:val="00A854EB"/>
    <w:rsid w:val="00A872E5"/>
    <w:rsid w:val="00A91406"/>
    <w:rsid w:val="00A96E65"/>
    <w:rsid w:val="00A96ECE"/>
    <w:rsid w:val="00A97C72"/>
    <w:rsid w:val="00AA1FC5"/>
    <w:rsid w:val="00AA310B"/>
    <w:rsid w:val="00AA316D"/>
    <w:rsid w:val="00AA6094"/>
    <w:rsid w:val="00AA63D4"/>
    <w:rsid w:val="00AA72AA"/>
    <w:rsid w:val="00AB06E8"/>
    <w:rsid w:val="00AB1CD3"/>
    <w:rsid w:val="00AB352F"/>
    <w:rsid w:val="00AB6DFB"/>
    <w:rsid w:val="00AC274B"/>
    <w:rsid w:val="00AC4764"/>
    <w:rsid w:val="00AC6D36"/>
    <w:rsid w:val="00AD0CBA"/>
    <w:rsid w:val="00AD26E2"/>
    <w:rsid w:val="00AD735D"/>
    <w:rsid w:val="00AD784C"/>
    <w:rsid w:val="00AE126A"/>
    <w:rsid w:val="00AE1BAE"/>
    <w:rsid w:val="00AE29E0"/>
    <w:rsid w:val="00AE3005"/>
    <w:rsid w:val="00AE3BD5"/>
    <w:rsid w:val="00AE3FCC"/>
    <w:rsid w:val="00AE59A0"/>
    <w:rsid w:val="00AF0C57"/>
    <w:rsid w:val="00AF26F3"/>
    <w:rsid w:val="00AF5F04"/>
    <w:rsid w:val="00B00672"/>
    <w:rsid w:val="00B01B4D"/>
    <w:rsid w:val="00B04489"/>
    <w:rsid w:val="00B063B1"/>
    <w:rsid w:val="00B06571"/>
    <w:rsid w:val="00B068BA"/>
    <w:rsid w:val="00B07217"/>
    <w:rsid w:val="00B13851"/>
    <w:rsid w:val="00B13B1C"/>
    <w:rsid w:val="00B1476B"/>
    <w:rsid w:val="00B14B5F"/>
    <w:rsid w:val="00B21F90"/>
    <w:rsid w:val="00B22277"/>
    <w:rsid w:val="00B22291"/>
    <w:rsid w:val="00B23F9A"/>
    <w:rsid w:val="00B2417B"/>
    <w:rsid w:val="00B24E6F"/>
    <w:rsid w:val="00B26CB5"/>
    <w:rsid w:val="00B2752E"/>
    <w:rsid w:val="00B307CC"/>
    <w:rsid w:val="00B3142B"/>
    <w:rsid w:val="00B326B7"/>
    <w:rsid w:val="00B3588E"/>
    <w:rsid w:val="00B4198F"/>
    <w:rsid w:val="00B41F3D"/>
    <w:rsid w:val="00B431E8"/>
    <w:rsid w:val="00B45141"/>
    <w:rsid w:val="00B47A7E"/>
    <w:rsid w:val="00B519CD"/>
    <w:rsid w:val="00B5273A"/>
    <w:rsid w:val="00B54CFB"/>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19F7"/>
    <w:rsid w:val="00BA29AD"/>
    <w:rsid w:val="00BA33CF"/>
    <w:rsid w:val="00BA3F8D"/>
    <w:rsid w:val="00BA4A24"/>
    <w:rsid w:val="00BB3E9E"/>
    <w:rsid w:val="00BB7A10"/>
    <w:rsid w:val="00BC60BE"/>
    <w:rsid w:val="00BC7468"/>
    <w:rsid w:val="00BC7D4F"/>
    <w:rsid w:val="00BC7E7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0F0D"/>
    <w:rsid w:val="00C115E1"/>
    <w:rsid w:val="00C123EA"/>
    <w:rsid w:val="00C12A49"/>
    <w:rsid w:val="00C12B05"/>
    <w:rsid w:val="00C133EE"/>
    <w:rsid w:val="00C149D0"/>
    <w:rsid w:val="00C15D95"/>
    <w:rsid w:val="00C26588"/>
    <w:rsid w:val="00C27DE9"/>
    <w:rsid w:val="00C32989"/>
    <w:rsid w:val="00C33388"/>
    <w:rsid w:val="00C35484"/>
    <w:rsid w:val="00C4173A"/>
    <w:rsid w:val="00C45BAA"/>
    <w:rsid w:val="00C50DED"/>
    <w:rsid w:val="00C52217"/>
    <w:rsid w:val="00C602FF"/>
    <w:rsid w:val="00C60411"/>
    <w:rsid w:val="00C61174"/>
    <w:rsid w:val="00C6148F"/>
    <w:rsid w:val="00C621B1"/>
    <w:rsid w:val="00C62F7A"/>
    <w:rsid w:val="00C63B9C"/>
    <w:rsid w:val="00C65945"/>
    <w:rsid w:val="00C6682F"/>
    <w:rsid w:val="00C67BF4"/>
    <w:rsid w:val="00C707B2"/>
    <w:rsid w:val="00C7275E"/>
    <w:rsid w:val="00C731AF"/>
    <w:rsid w:val="00C74179"/>
    <w:rsid w:val="00C74C5D"/>
    <w:rsid w:val="00C863C4"/>
    <w:rsid w:val="00C90DAB"/>
    <w:rsid w:val="00C920EA"/>
    <w:rsid w:val="00C93C3E"/>
    <w:rsid w:val="00C96D69"/>
    <w:rsid w:val="00CA12E3"/>
    <w:rsid w:val="00CA1476"/>
    <w:rsid w:val="00CA6611"/>
    <w:rsid w:val="00CA6AE6"/>
    <w:rsid w:val="00CA782F"/>
    <w:rsid w:val="00CB098A"/>
    <w:rsid w:val="00CB187B"/>
    <w:rsid w:val="00CB2835"/>
    <w:rsid w:val="00CB3285"/>
    <w:rsid w:val="00CB4500"/>
    <w:rsid w:val="00CB45F6"/>
    <w:rsid w:val="00CB55A5"/>
    <w:rsid w:val="00CB5EA8"/>
    <w:rsid w:val="00CC0C72"/>
    <w:rsid w:val="00CC2BFD"/>
    <w:rsid w:val="00CC6F40"/>
    <w:rsid w:val="00CD3476"/>
    <w:rsid w:val="00CD64DF"/>
    <w:rsid w:val="00CD768F"/>
    <w:rsid w:val="00CE0767"/>
    <w:rsid w:val="00CE225F"/>
    <w:rsid w:val="00CE32F3"/>
    <w:rsid w:val="00CF230C"/>
    <w:rsid w:val="00CF2F50"/>
    <w:rsid w:val="00CF3333"/>
    <w:rsid w:val="00CF6198"/>
    <w:rsid w:val="00D02919"/>
    <w:rsid w:val="00D031BB"/>
    <w:rsid w:val="00D04C61"/>
    <w:rsid w:val="00D05B8D"/>
    <w:rsid w:val="00D05B9B"/>
    <w:rsid w:val="00D065A2"/>
    <w:rsid w:val="00D079AA"/>
    <w:rsid w:val="00D07F00"/>
    <w:rsid w:val="00D1130F"/>
    <w:rsid w:val="00D1571F"/>
    <w:rsid w:val="00D1658C"/>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579D2"/>
    <w:rsid w:val="00D618F4"/>
    <w:rsid w:val="00D63636"/>
    <w:rsid w:val="00D640AD"/>
    <w:rsid w:val="00D714CC"/>
    <w:rsid w:val="00D75EA7"/>
    <w:rsid w:val="00D77252"/>
    <w:rsid w:val="00D772F2"/>
    <w:rsid w:val="00D81ADF"/>
    <w:rsid w:val="00D81F21"/>
    <w:rsid w:val="00D83D06"/>
    <w:rsid w:val="00D864F2"/>
    <w:rsid w:val="00D943F8"/>
    <w:rsid w:val="00D95470"/>
    <w:rsid w:val="00D96B55"/>
    <w:rsid w:val="00DA2619"/>
    <w:rsid w:val="00DA4239"/>
    <w:rsid w:val="00DA588C"/>
    <w:rsid w:val="00DA5F93"/>
    <w:rsid w:val="00DA65DE"/>
    <w:rsid w:val="00DB0B61"/>
    <w:rsid w:val="00DB1474"/>
    <w:rsid w:val="00DB2962"/>
    <w:rsid w:val="00DB2A57"/>
    <w:rsid w:val="00DB52FB"/>
    <w:rsid w:val="00DC00C1"/>
    <w:rsid w:val="00DC013B"/>
    <w:rsid w:val="00DC090B"/>
    <w:rsid w:val="00DC1679"/>
    <w:rsid w:val="00DC219B"/>
    <w:rsid w:val="00DC2CF1"/>
    <w:rsid w:val="00DC2DC7"/>
    <w:rsid w:val="00DC34D0"/>
    <w:rsid w:val="00DC3A7C"/>
    <w:rsid w:val="00DC4FCF"/>
    <w:rsid w:val="00DC50E0"/>
    <w:rsid w:val="00DC6386"/>
    <w:rsid w:val="00DD1130"/>
    <w:rsid w:val="00DD1951"/>
    <w:rsid w:val="00DD2B0E"/>
    <w:rsid w:val="00DD487D"/>
    <w:rsid w:val="00DD4E83"/>
    <w:rsid w:val="00DD6628"/>
    <w:rsid w:val="00DD6945"/>
    <w:rsid w:val="00DE02E4"/>
    <w:rsid w:val="00DE2D04"/>
    <w:rsid w:val="00DE3250"/>
    <w:rsid w:val="00DE6028"/>
    <w:rsid w:val="00DE6C85"/>
    <w:rsid w:val="00DE78A3"/>
    <w:rsid w:val="00DF1906"/>
    <w:rsid w:val="00DF1A71"/>
    <w:rsid w:val="00DF50FC"/>
    <w:rsid w:val="00DF68C7"/>
    <w:rsid w:val="00DF731A"/>
    <w:rsid w:val="00E04BBB"/>
    <w:rsid w:val="00E06B75"/>
    <w:rsid w:val="00E11332"/>
    <w:rsid w:val="00E11352"/>
    <w:rsid w:val="00E16BCD"/>
    <w:rsid w:val="00E170DC"/>
    <w:rsid w:val="00E17546"/>
    <w:rsid w:val="00E210B5"/>
    <w:rsid w:val="00E261B3"/>
    <w:rsid w:val="00E26818"/>
    <w:rsid w:val="00E27FFC"/>
    <w:rsid w:val="00E30B15"/>
    <w:rsid w:val="00E31461"/>
    <w:rsid w:val="00E33237"/>
    <w:rsid w:val="00E40181"/>
    <w:rsid w:val="00E54950"/>
    <w:rsid w:val="00E55FB3"/>
    <w:rsid w:val="00E56A01"/>
    <w:rsid w:val="00E6061D"/>
    <w:rsid w:val="00E629A1"/>
    <w:rsid w:val="00E63023"/>
    <w:rsid w:val="00E6794C"/>
    <w:rsid w:val="00E71591"/>
    <w:rsid w:val="00E71CEB"/>
    <w:rsid w:val="00E7474F"/>
    <w:rsid w:val="00E80DE3"/>
    <w:rsid w:val="00E81C5C"/>
    <w:rsid w:val="00E82C55"/>
    <w:rsid w:val="00E8787E"/>
    <w:rsid w:val="00E92AC3"/>
    <w:rsid w:val="00E93EAC"/>
    <w:rsid w:val="00EA2F6A"/>
    <w:rsid w:val="00EB00E0"/>
    <w:rsid w:val="00EB05D5"/>
    <w:rsid w:val="00EB4BC7"/>
    <w:rsid w:val="00EC059F"/>
    <w:rsid w:val="00EC1F24"/>
    <w:rsid w:val="00EC22F6"/>
    <w:rsid w:val="00EC3DB9"/>
    <w:rsid w:val="00ED2167"/>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890"/>
    <w:rsid w:val="00EF59A3"/>
    <w:rsid w:val="00EF6675"/>
    <w:rsid w:val="00F0063D"/>
    <w:rsid w:val="00F00F9C"/>
    <w:rsid w:val="00F01E5F"/>
    <w:rsid w:val="00F024F3"/>
    <w:rsid w:val="00F02ABA"/>
    <w:rsid w:val="00F0437A"/>
    <w:rsid w:val="00F07DE9"/>
    <w:rsid w:val="00F101B8"/>
    <w:rsid w:val="00F11037"/>
    <w:rsid w:val="00F15144"/>
    <w:rsid w:val="00F16F1B"/>
    <w:rsid w:val="00F200E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29D"/>
    <w:rsid w:val="00F85195"/>
    <w:rsid w:val="00F857D4"/>
    <w:rsid w:val="00F868E3"/>
    <w:rsid w:val="00F9208C"/>
    <w:rsid w:val="00F938BA"/>
    <w:rsid w:val="00F97919"/>
    <w:rsid w:val="00FA230B"/>
    <w:rsid w:val="00FA2C46"/>
    <w:rsid w:val="00FA3525"/>
    <w:rsid w:val="00FA5A53"/>
    <w:rsid w:val="00FA7D0B"/>
    <w:rsid w:val="00FB1F6E"/>
    <w:rsid w:val="00FB2BA4"/>
    <w:rsid w:val="00FB4769"/>
    <w:rsid w:val="00FB4CDA"/>
    <w:rsid w:val="00FB6481"/>
    <w:rsid w:val="00FB64BA"/>
    <w:rsid w:val="00FB6D36"/>
    <w:rsid w:val="00FC0965"/>
    <w:rsid w:val="00FC0F81"/>
    <w:rsid w:val="00FC252F"/>
    <w:rsid w:val="00FC395C"/>
    <w:rsid w:val="00FC5E8E"/>
    <w:rsid w:val="00FD3766"/>
    <w:rsid w:val="00FD3D05"/>
    <w:rsid w:val="00FD47C4"/>
    <w:rsid w:val="00FE01A0"/>
    <w:rsid w:val="00FE2DCF"/>
    <w:rsid w:val="00FE331E"/>
    <w:rsid w:val="00FE3FA7"/>
    <w:rsid w:val="00FE4081"/>
    <w:rsid w:val="00FF2A4E"/>
    <w:rsid w:val="00FF2FCE"/>
    <w:rsid w:val="00FF4F7D"/>
    <w:rsid w:val="00FF630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2659081"/>
  <w15:docId w15:val="{E9BFADC8-D9C3-4B35-8711-4E22F7C4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styleId="Mention">
    <w:name w:val="Mention"/>
    <w:basedOn w:val="DefaultParagraphFont"/>
    <w:uiPriority w:val="99"/>
    <w:unhideWhenUsed/>
    <w:rsid w:val="00E81C5C"/>
    <w:rPr>
      <w:color w:val="2B579A"/>
      <w:shd w:val="clear" w:color="auto" w:fill="E1DFDD"/>
    </w:rPr>
  </w:style>
  <w:style w:type="paragraph" w:customStyle="1" w:styleId="DHHSnumberloweralpha">
    <w:name w:val="DHHS number lower alpha"/>
    <w:basedOn w:val="Normal"/>
    <w:uiPriority w:val="3"/>
    <w:rsid w:val="00E81C5C"/>
    <w:pPr>
      <w:tabs>
        <w:tab w:val="num" w:pos="397"/>
      </w:tabs>
      <w:spacing w:line="270" w:lineRule="atLeast"/>
      <w:ind w:left="2160" w:hanging="360"/>
    </w:pPr>
    <w:rPr>
      <w:rFonts w:eastAsia="Times"/>
      <w:sz w:val="20"/>
    </w:rPr>
  </w:style>
  <w:style w:type="paragraph" w:customStyle="1" w:styleId="DHHSnumberdigit">
    <w:name w:val="DHHS number digit"/>
    <w:basedOn w:val="Normal"/>
    <w:uiPriority w:val="2"/>
    <w:rsid w:val="00E81C5C"/>
    <w:pPr>
      <w:tabs>
        <w:tab w:val="num" w:pos="397"/>
      </w:tabs>
      <w:spacing w:line="270" w:lineRule="atLeast"/>
      <w:ind w:left="720" w:hanging="360"/>
    </w:pPr>
    <w:rPr>
      <w:rFonts w:eastAsia="Times"/>
      <w:sz w:val="20"/>
    </w:rPr>
  </w:style>
  <w:style w:type="numbering" w:customStyle="1" w:styleId="ZZNumbers">
    <w:name w:val="ZZ Numbers"/>
    <w:rsid w:val="00E81C5C"/>
    <w:pPr>
      <w:numPr>
        <w:numId w:val="10"/>
      </w:numPr>
    </w:pPr>
  </w:style>
  <w:style w:type="paragraph" w:customStyle="1" w:styleId="DHHSnumberlowerroman">
    <w:name w:val="DHHS number lower roman"/>
    <w:basedOn w:val="Normal"/>
    <w:uiPriority w:val="3"/>
    <w:rsid w:val="00E81C5C"/>
    <w:pPr>
      <w:spacing w:line="270" w:lineRule="atLeast"/>
      <w:ind w:left="3600" w:hanging="360"/>
    </w:pPr>
    <w:rPr>
      <w:rFonts w:eastAsia="Times"/>
      <w:sz w:val="20"/>
    </w:rPr>
  </w:style>
  <w:style w:type="paragraph" w:customStyle="1" w:styleId="DHHSnumberlowerromanindent">
    <w:name w:val="DHHS number lower roman indent"/>
    <w:basedOn w:val="Normal"/>
    <w:uiPriority w:val="3"/>
    <w:rsid w:val="00E81C5C"/>
    <w:pPr>
      <w:spacing w:line="270" w:lineRule="atLeast"/>
      <w:ind w:left="4320" w:hanging="360"/>
    </w:pPr>
    <w:rPr>
      <w:rFonts w:eastAsia="Times"/>
      <w:sz w:val="20"/>
    </w:rPr>
  </w:style>
  <w:style w:type="character" w:customStyle="1" w:styleId="DHHSbodyChar">
    <w:name w:val="DHHS body Char"/>
    <w:link w:val="DHHSbody"/>
    <w:locked/>
    <w:rsid w:val="00E81C5C"/>
    <w:rPr>
      <w:rFonts w:ascii="Arial" w:eastAsia="Times" w:hAnsi="Arial" w:cs="Arial"/>
      <w:lang w:eastAsia="en-US"/>
    </w:rPr>
  </w:style>
  <w:style w:type="paragraph" w:customStyle="1" w:styleId="DHHSbody">
    <w:name w:val="DHHS body"/>
    <w:link w:val="DHHSbodyChar"/>
    <w:qFormat/>
    <w:rsid w:val="00E81C5C"/>
    <w:pPr>
      <w:spacing w:after="120" w:line="270" w:lineRule="atLeast"/>
    </w:pPr>
    <w:rPr>
      <w:rFonts w:ascii="Arial" w:eastAsia="Times" w:hAnsi="Arial" w:cs="Arial"/>
      <w:lang w:eastAsia="en-US"/>
    </w:rPr>
  </w:style>
  <w:style w:type="paragraph" w:styleId="ListParagraph">
    <w:name w:val="List Paragraph"/>
    <w:basedOn w:val="Normal"/>
    <w:uiPriority w:val="72"/>
    <w:qFormat/>
    <w:rsid w:val="00E81C5C"/>
    <w:pPr>
      <w:ind w:left="720"/>
      <w:contextualSpacing/>
    </w:pPr>
  </w:style>
  <w:style w:type="paragraph" w:customStyle="1" w:styleId="DHSheadingD">
    <w:name w:val="DHS heading D"/>
    <w:next w:val="Normal"/>
    <w:rsid w:val="00E81C5C"/>
    <w:pPr>
      <w:spacing w:before="240" w:after="60" w:line="240" w:lineRule="exact"/>
    </w:pPr>
    <w:rPr>
      <w:rFonts w:ascii="Arial" w:hAnsi="Arial"/>
      <w:b/>
      <w:bCs/>
      <w:lang w:eastAsia="en-US"/>
    </w:rPr>
  </w:style>
  <w:style w:type="paragraph" w:customStyle="1" w:styleId="DHSHeadingC">
    <w:name w:val="DHS Heading C"/>
    <w:basedOn w:val="Normal"/>
    <w:rsid w:val="00E81C5C"/>
    <w:pPr>
      <w:spacing w:before="240" w:after="90" w:line="270" w:lineRule="exact"/>
    </w:pPr>
    <w:rPr>
      <w:bCs/>
      <w:color w:val="A70240"/>
      <w:sz w:val="23"/>
      <w:szCs w:val="24"/>
    </w:rPr>
  </w:style>
  <w:style w:type="character" w:customStyle="1" w:styleId="cf01">
    <w:name w:val="cf01"/>
    <w:basedOn w:val="DefaultParagraphFont"/>
    <w:rsid w:val="00E81C5C"/>
    <w:rPr>
      <w:rFonts w:ascii="Segoe UI" w:hAnsi="Segoe UI" w:cs="Segoe UI" w:hint="default"/>
      <w:sz w:val="18"/>
      <w:szCs w:val="18"/>
    </w:rPr>
  </w:style>
  <w:style w:type="character" w:customStyle="1" w:styleId="fui-buttonicon">
    <w:name w:val="fui-button__icon"/>
    <w:basedOn w:val="DefaultParagraphFont"/>
    <w:rsid w:val="00E81C5C"/>
  </w:style>
  <w:style w:type="character" w:customStyle="1" w:styleId="fui-styledtext">
    <w:name w:val="fui-styledtext"/>
    <w:basedOn w:val="DefaultParagraphFont"/>
    <w:rsid w:val="00E81C5C"/>
  </w:style>
  <w:style w:type="paragraph" w:customStyle="1" w:styleId="paragraph">
    <w:name w:val="paragraph"/>
    <w:basedOn w:val="Normal"/>
    <w:rsid w:val="00E81C5C"/>
    <w:pPr>
      <w:spacing w:before="100" w:beforeAutospacing="1" w:after="100" w:afterAutospacing="1" w:line="240" w:lineRule="auto"/>
    </w:pPr>
    <w:rPr>
      <w:rFonts w:ascii="Aptos" w:eastAsiaTheme="minorHAnsi" w:hAnsi="Aptos" w:cs="Aptos"/>
      <w:sz w:val="24"/>
      <w:szCs w:val="24"/>
      <w:lang w:eastAsia="en-AU"/>
    </w:rPr>
  </w:style>
  <w:style w:type="character" w:customStyle="1" w:styleId="normaltextrun">
    <w:name w:val="normaltextrun"/>
    <w:basedOn w:val="DefaultParagraphFont"/>
    <w:rsid w:val="00E81C5C"/>
  </w:style>
  <w:style w:type="character" w:customStyle="1" w:styleId="eop">
    <w:name w:val="eop"/>
    <w:basedOn w:val="DefaultParagraphFont"/>
    <w:rsid w:val="00E81C5C"/>
  </w:style>
  <w:style w:type="paragraph" w:styleId="ListBullet">
    <w:name w:val="List Bullet"/>
    <w:basedOn w:val="Normal"/>
    <w:uiPriority w:val="99"/>
    <w:unhideWhenUsed/>
    <w:rsid w:val="00E81C5C"/>
    <w:pPr>
      <w:tabs>
        <w:tab w:val="num" w:pos="360"/>
      </w:tabs>
      <w:ind w:left="360" w:hanging="360"/>
      <w:contextualSpacing/>
    </w:pPr>
  </w:style>
  <w:style w:type="paragraph" w:customStyle="1" w:styleId="BulletPointList">
    <w:name w:val="Bullet Point List"/>
    <w:basedOn w:val="Body"/>
    <w:link w:val="BulletPointListChar"/>
    <w:uiPriority w:val="11"/>
    <w:qFormat/>
    <w:rsid w:val="00E81C5C"/>
    <w:pPr>
      <w:numPr>
        <w:numId w:val="13"/>
      </w:numPr>
      <w:ind w:left="924" w:hanging="357"/>
      <w:jc w:val="both"/>
    </w:pPr>
    <w:rPr>
      <w:rFonts w:eastAsia="Symbol" w:cs="Symbol"/>
    </w:rPr>
  </w:style>
  <w:style w:type="character" w:customStyle="1" w:styleId="BulletPointListChar">
    <w:name w:val="Bullet Point List Char"/>
    <w:basedOn w:val="BodyChar"/>
    <w:link w:val="BulletPointList"/>
    <w:uiPriority w:val="11"/>
    <w:rsid w:val="00E81C5C"/>
    <w:rPr>
      <w:rFonts w:ascii="Arial" w:eastAsia="Symbol" w:hAnsi="Arial" w:cs="Symbo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4708C38A74F4F86F325E2555F97AA" ma:contentTypeVersion="18" ma:contentTypeDescription="Create a new document." ma:contentTypeScope="" ma:versionID="ae373b4338ad82a4b6111fdef769e066">
  <xsd:schema xmlns:xsd="http://www.w3.org/2001/XMLSchema" xmlns:xs="http://www.w3.org/2001/XMLSchema" xmlns:p="http://schemas.microsoft.com/office/2006/metadata/properties" xmlns:ns2="d376f49b-1ab5-4b4d-b6a6-509e9addd48f" xmlns:ns3="65cddbd1-853c-4195-a4b7-92316e9e55ea" xmlns:ns4="5ce0f2b5-5be5-4508-bce9-d7011ece0659" targetNamespace="http://schemas.microsoft.com/office/2006/metadata/properties" ma:root="true" ma:fieldsID="ba99576532d9278c9d31c94ec3ba8dc7" ns2:_="" ns3:_="" ns4:_="">
    <xsd:import namespace="d376f49b-1ab5-4b4d-b6a6-509e9addd48f"/>
    <xsd:import namespace="65cddbd1-853c-4195-a4b7-92316e9e55e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6f49b-1ab5-4b4d-b6a6-509e9addd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dbd1-853c-4195-a4b7-92316e9e5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557926-896c-4603-b046-b21b6a167da0}" ma:internalName="TaxCatchAll" ma:showField="CatchAllData" ma:web="65cddbd1-853c-4195-a4b7-92316e9e5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376f49b-1ab5-4b4d-b6a6-509e9addd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AD0378-961D-456E-B2D8-D7C9334F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6f49b-1ab5-4b4d-b6a6-509e9addd48f"/>
    <ds:schemaRef ds:uri="65cddbd1-853c-4195-a4b7-92316e9e55e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d376f49b-1ab5-4b4d-b6a6-509e9addd48f"/>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15</Pages>
  <Words>4157</Words>
  <Characters>23897</Characters>
  <Application>Microsoft Office Word</Application>
  <DocSecurity>0</DocSecurity>
  <Lines>507</Lines>
  <Paragraphs>272</Paragraphs>
  <ScaleCrop>false</ScaleCrop>
  <HeadingPairs>
    <vt:vector size="2" baseType="variant">
      <vt:variant>
        <vt:lpstr>Title</vt:lpstr>
      </vt:variant>
      <vt:variant>
        <vt:i4>1</vt:i4>
      </vt:variant>
    </vt:vector>
  </HeadingPairs>
  <TitlesOfParts>
    <vt:vector size="1" baseType="lpstr">
      <vt:lpstr>Forensic Disability Services Access Policy</vt:lpstr>
    </vt:vector>
  </TitlesOfParts>
  <Company>Victoria State Government, Department of Families, Fairness and Housing</Company>
  <LinksUpToDate>false</LinksUpToDate>
  <CharactersWithSpaces>28197</CharactersWithSpaces>
  <SharedDoc>false</SharedDoc>
  <HyperlinkBase/>
  <HLinks>
    <vt:vector size="150" baseType="variant">
      <vt:variant>
        <vt:i4>1769520</vt:i4>
      </vt:variant>
      <vt:variant>
        <vt:i4>149</vt:i4>
      </vt:variant>
      <vt:variant>
        <vt:i4>0</vt:i4>
      </vt:variant>
      <vt:variant>
        <vt:i4>5</vt:i4>
      </vt:variant>
      <vt:variant>
        <vt:lpwstr/>
      </vt:variant>
      <vt:variant>
        <vt:lpwstr>_Toc205460189</vt:lpwstr>
      </vt:variant>
      <vt:variant>
        <vt:i4>1769520</vt:i4>
      </vt:variant>
      <vt:variant>
        <vt:i4>143</vt:i4>
      </vt:variant>
      <vt:variant>
        <vt:i4>0</vt:i4>
      </vt:variant>
      <vt:variant>
        <vt:i4>5</vt:i4>
      </vt:variant>
      <vt:variant>
        <vt:lpwstr/>
      </vt:variant>
      <vt:variant>
        <vt:lpwstr>_Toc205460188</vt:lpwstr>
      </vt:variant>
      <vt:variant>
        <vt:i4>1769520</vt:i4>
      </vt:variant>
      <vt:variant>
        <vt:i4>137</vt:i4>
      </vt:variant>
      <vt:variant>
        <vt:i4>0</vt:i4>
      </vt:variant>
      <vt:variant>
        <vt:i4>5</vt:i4>
      </vt:variant>
      <vt:variant>
        <vt:lpwstr/>
      </vt:variant>
      <vt:variant>
        <vt:lpwstr>_Toc205460187</vt:lpwstr>
      </vt:variant>
      <vt:variant>
        <vt:i4>1769520</vt:i4>
      </vt:variant>
      <vt:variant>
        <vt:i4>131</vt:i4>
      </vt:variant>
      <vt:variant>
        <vt:i4>0</vt:i4>
      </vt:variant>
      <vt:variant>
        <vt:i4>5</vt:i4>
      </vt:variant>
      <vt:variant>
        <vt:lpwstr/>
      </vt:variant>
      <vt:variant>
        <vt:lpwstr>_Toc205460186</vt:lpwstr>
      </vt:variant>
      <vt:variant>
        <vt:i4>1769520</vt:i4>
      </vt:variant>
      <vt:variant>
        <vt:i4>125</vt:i4>
      </vt:variant>
      <vt:variant>
        <vt:i4>0</vt:i4>
      </vt:variant>
      <vt:variant>
        <vt:i4>5</vt:i4>
      </vt:variant>
      <vt:variant>
        <vt:lpwstr/>
      </vt:variant>
      <vt:variant>
        <vt:lpwstr>_Toc205460185</vt:lpwstr>
      </vt:variant>
      <vt:variant>
        <vt:i4>1769520</vt:i4>
      </vt:variant>
      <vt:variant>
        <vt:i4>119</vt:i4>
      </vt:variant>
      <vt:variant>
        <vt:i4>0</vt:i4>
      </vt:variant>
      <vt:variant>
        <vt:i4>5</vt:i4>
      </vt:variant>
      <vt:variant>
        <vt:lpwstr/>
      </vt:variant>
      <vt:variant>
        <vt:lpwstr>_Toc205460184</vt:lpwstr>
      </vt:variant>
      <vt:variant>
        <vt:i4>1769520</vt:i4>
      </vt:variant>
      <vt:variant>
        <vt:i4>113</vt:i4>
      </vt:variant>
      <vt:variant>
        <vt:i4>0</vt:i4>
      </vt:variant>
      <vt:variant>
        <vt:i4>5</vt:i4>
      </vt:variant>
      <vt:variant>
        <vt:lpwstr/>
      </vt:variant>
      <vt:variant>
        <vt:lpwstr>_Toc205460183</vt:lpwstr>
      </vt:variant>
      <vt:variant>
        <vt:i4>1769520</vt:i4>
      </vt:variant>
      <vt:variant>
        <vt:i4>107</vt:i4>
      </vt:variant>
      <vt:variant>
        <vt:i4>0</vt:i4>
      </vt:variant>
      <vt:variant>
        <vt:i4>5</vt:i4>
      </vt:variant>
      <vt:variant>
        <vt:lpwstr/>
      </vt:variant>
      <vt:variant>
        <vt:lpwstr>_Toc205460182</vt:lpwstr>
      </vt:variant>
      <vt:variant>
        <vt:i4>1769520</vt:i4>
      </vt:variant>
      <vt:variant>
        <vt:i4>101</vt:i4>
      </vt:variant>
      <vt:variant>
        <vt:i4>0</vt:i4>
      </vt:variant>
      <vt:variant>
        <vt:i4>5</vt:i4>
      </vt:variant>
      <vt:variant>
        <vt:lpwstr/>
      </vt:variant>
      <vt:variant>
        <vt:lpwstr>_Toc205460181</vt:lpwstr>
      </vt:variant>
      <vt:variant>
        <vt:i4>1769520</vt:i4>
      </vt:variant>
      <vt:variant>
        <vt:i4>95</vt:i4>
      </vt:variant>
      <vt:variant>
        <vt:i4>0</vt:i4>
      </vt:variant>
      <vt:variant>
        <vt:i4>5</vt:i4>
      </vt:variant>
      <vt:variant>
        <vt:lpwstr/>
      </vt:variant>
      <vt:variant>
        <vt:lpwstr>_Toc205460180</vt:lpwstr>
      </vt:variant>
      <vt:variant>
        <vt:i4>1310768</vt:i4>
      </vt:variant>
      <vt:variant>
        <vt:i4>89</vt:i4>
      </vt:variant>
      <vt:variant>
        <vt:i4>0</vt:i4>
      </vt:variant>
      <vt:variant>
        <vt:i4>5</vt:i4>
      </vt:variant>
      <vt:variant>
        <vt:lpwstr/>
      </vt:variant>
      <vt:variant>
        <vt:lpwstr>_Toc205460179</vt:lpwstr>
      </vt:variant>
      <vt:variant>
        <vt:i4>1310768</vt:i4>
      </vt:variant>
      <vt:variant>
        <vt:i4>83</vt:i4>
      </vt:variant>
      <vt:variant>
        <vt:i4>0</vt:i4>
      </vt:variant>
      <vt:variant>
        <vt:i4>5</vt:i4>
      </vt:variant>
      <vt:variant>
        <vt:lpwstr/>
      </vt:variant>
      <vt:variant>
        <vt:lpwstr>_Toc205460178</vt:lpwstr>
      </vt:variant>
      <vt:variant>
        <vt:i4>1310768</vt:i4>
      </vt:variant>
      <vt:variant>
        <vt:i4>77</vt:i4>
      </vt:variant>
      <vt:variant>
        <vt:i4>0</vt:i4>
      </vt:variant>
      <vt:variant>
        <vt:i4>5</vt:i4>
      </vt:variant>
      <vt:variant>
        <vt:lpwstr/>
      </vt:variant>
      <vt:variant>
        <vt:lpwstr>_Toc205460177</vt:lpwstr>
      </vt:variant>
      <vt:variant>
        <vt:i4>1310768</vt:i4>
      </vt:variant>
      <vt:variant>
        <vt:i4>71</vt:i4>
      </vt:variant>
      <vt:variant>
        <vt:i4>0</vt:i4>
      </vt:variant>
      <vt:variant>
        <vt:i4>5</vt:i4>
      </vt:variant>
      <vt:variant>
        <vt:lpwstr/>
      </vt:variant>
      <vt:variant>
        <vt:lpwstr>_Toc205460176</vt:lpwstr>
      </vt:variant>
      <vt:variant>
        <vt:i4>1310768</vt:i4>
      </vt:variant>
      <vt:variant>
        <vt:i4>65</vt:i4>
      </vt:variant>
      <vt:variant>
        <vt:i4>0</vt:i4>
      </vt:variant>
      <vt:variant>
        <vt:i4>5</vt:i4>
      </vt:variant>
      <vt:variant>
        <vt:lpwstr/>
      </vt:variant>
      <vt:variant>
        <vt:lpwstr>_Toc205460175</vt:lpwstr>
      </vt:variant>
      <vt:variant>
        <vt:i4>1310768</vt:i4>
      </vt:variant>
      <vt:variant>
        <vt:i4>59</vt:i4>
      </vt:variant>
      <vt:variant>
        <vt:i4>0</vt:i4>
      </vt:variant>
      <vt:variant>
        <vt:i4>5</vt:i4>
      </vt:variant>
      <vt:variant>
        <vt:lpwstr/>
      </vt:variant>
      <vt:variant>
        <vt:lpwstr>_Toc205460174</vt:lpwstr>
      </vt:variant>
      <vt:variant>
        <vt:i4>1310768</vt:i4>
      </vt:variant>
      <vt:variant>
        <vt:i4>53</vt:i4>
      </vt:variant>
      <vt:variant>
        <vt:i4>0</vt:i4>
      </vt:variant>
      <vt:variant>
        <vt:i4>5</vt:i4>
      </vt:variant>
      <vt:variant>
        <vt:lpwstr/>
      </vt:variant>
      <vt:variant>
        <vt:lpwstr>_Toc205460173</vt:lpwstr>
      </vt:variant>
      <vt:variant>
        <vt:i4>1310768</vt:i4>
      </vt:variant>
      <vt:variant>
        <vt:i4>47</vt:i4>
      </vt:variant>
      <vt:variant>
        <vt:i4>0</vt:i4>
      </vt:variant>
      <vt:variant>
        <vt:i4>5</vt:i4>
      </vt:variant>
      <vt:variant>
        <vt:lpwstr/>
      </vt:variant>
      <vt:variant>
        <vt:lpwstr>_Toc205460172</vt:lpwstr>
      </vt:variant>
      <vt:variant>
        <vt:i4>1310768</vt:i4>
      </vt:variant>
      <vt:variant>
        <vt:i4>41</vt:i4>
      </vt:variant>
      <vt:variant>
        <vt:i4>0</vt:i4>
      </vt:variant>
      <vt:variant>
        <vt:i4>5</vt:i4>
      </vt:variant>
      <vt:variant>
        <vt:lpwstr/>
      </vt:variant>
      <vt:variant>
        <vt:lpwstr>_Toc205460171</vt:lpwstr>
      </vt:variant>
      <vt:variant>
        <vt:i4>1310768</vt:i4>
      </vt:variant>
      <vt:variant>
        <vt:i4>35</vt:i4>
      </vt:variant>
      <vt:variant>
        <vt:i4>0</vt:i4>
      </vt:variant>
      <vt:variant>
        <vt:i4>5</vt:i4>
      </vt:variant>
      <vt:variant>
        <vt:lpwstr/>
      </vt:variant>
      <vt:variant>
        <vt:lpwstr>_Toc205460170</vt:lpwstr>
      </vt:variant>
      <vt:variant>
        <vt:i4>1376304</vt:i4>
      </vt:variant>
      <vt:variant>
        <vt:i4>29</vt:i4>
      </vt:variant>
      <vt:variant>
        <vt:i4>0</vt:i4>
      </vt:variant>
      <vt:variant>
        <vt:i4>5</vt:i4>
      </vt:variant>
      <vt:variant>
        <vt:lpwstr/>
      </vt:variant>
      <vt:variant>
        <vt:lpwstr>_Toc205460169</vt:lpwstr>
      </vt:variant>
      <vt:variant>
        <vt:i4>1376304</vt:i4>
      </vt:variant>
      <vt:variant>
        <vt:i4>23</vt:i4>
      </vt:variant>
      <vt:variant>
        <vt:i4>0</vt:i4>
      </vt:variant>
      <vt:variant>
        <vt:i4>5</vt:i4>
      </vt:variant>
      <vt:variant>
        <vt:lpwstr/>
      </vt:variant>
      <vt:variant>
        <vt:lpwstr>_Toc205460168</vt:lpwstr>
      </vt:variant>
      <vt:variant>
        <vt:i4>1376304</vt:i4>
      </vt:variant>
      <vt:variant>
        <vt:i4>17</vt:i4>
      </vt:variant>
      <vt:variant>
        <vt:i4>0</vt:i4>
      </vt:variant>
      <vt:variant>
        <vt:i4>5</vt:i4>
      </vt:variant>
      <vt:variant>
        <vt:lpwstr/>
      </vt:variant>
      <vt:variant>
        <vt:lpwstr>_Toc205460167</vt:lpwstr>
      </vt:variant>
      <vt:variant>
        <vt:i4>1376304</vt:i4>
      </vt:variant>
      <vt:variant>
        <vt:i4>11</vt:i4>
      </vt:variant>
      <vt:variant>
        <vt:i4>0</vt:i4>
      </vt:variant>
      <vt:variant>
        <vt:i4>5</vt:i4>
      </vt:variant>
      <vt:variant>
        <vt:lpwstr/>
      </vt:variant>
      <vt:variant>
        <vt:lpwstr>_Toc205460166</vt:lpwstr>
      </vt:variant>
      <vt:variant>
        <vt:i4>1376304</vt:i4>
      </vt:variant>
      <vt:variant>
        <vt:i4>5</vt:i4>
      </vt:variant>
      <vt:variant>
        <vt:i4>0</vt:i4>
      </vt:variant>
      <vt:variant>
        <vt:i4>5</vt:i4>
      </vt:variant>
      <vt:variant>
        <vt:lpwstr/>
      </vt:variant>
      <vt:variant>
        <vt:lpwstr>_Toc205460165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Disability Services Access Policy</dc:title>
  <dc:subject>Forensic Disability Services Access Policy</dc:subject>
  <dc:creator>Complex Needs and Forensic Disability, DFEM</dc:creator>
  <cp:keywords/>
  <cp:revision>104</cp:revision>
  <cp:lastPrinted>2021-01-30T00:27:00Z</cp:lastPrinted>
  <dcterms:created xsi:type="dcterms:W3CDTF">2025-06-06T17:18:00Z</dcterms:created>
  <dcterms:modified xsi:type="dcterms:W3CDTF">2025-08-08T03:13:00Z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0x0101004C74708C38A74F4F86F325E2555F97AA</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95f85172-fedf-459f-88eb-90343516f5be</vt:lpwstr>
  </property>
</Properties>
</file>